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F3A9" w14:textId="131C12E7" w:rsidR="005752AE" w:rsidRPr="00F9213D" w:rsidRDefault="00AD4F69" w:rsidP="00F9213D">
      <w:pPr>
        <w:snapToGrid w:val="0"/>
        <w:spacing w:line="360" w:lineRule="auto"/>
        <w:rPr>
          <w:rFonts w:ascii="Times New Roman" w:hAnsi="Times New Roman" w:cs="Times New Roman"/>
        </w:rPr>
      </w:pPr>
      <w:r w:rsidRPr="00F9213D">
        <w:rPr>
          <w:rFonts w:ascii="Times New Roman" w:hAnsi="Times New Roman" w:cs="Times New Roman"/>
          <w:b/>
          <w:bCs/>
        </w:rPr>
        <w:t>Supplementary Results</w:t>
      </w:r>
    </w:p>
    <w:p w14:paraId="03226395" w14:textId="67E125BD" w:rsidR="00AD4F69" w:rsidRPr="00F9213D" w:rsidRDefault="00AD4F69" w:rsidP="00F9213D">
      <w:pPr>
        <w:snapToGrid w:val="0"/>
        <w:spacing w:line="360" w:lineRule="auto"/>
        <w:rPr>
          <w:rFonts w:ascii="Times New Roman" w:hAnsi="Times New Roman" w:cs="Times New Roman"/>
        </w:rPr>
      </w:pPr>
      <w:r w:rsidRPr="00F9213D">
        <w:rPr>
          <w:rFonts w:ascii="Times New Roman" w:hAnsi="Times New Roman" w:cs="Times New Roman"/>
        </w:rPr>
        <w:tab/>
        <w:t xml:space="preserve">Additional linear regressions were performed to </w:t>
      </w:r>
      <w:r w:rsidR="00E71296">
        <w:rPr>
          <w:rFonts w:ascii="Times New Roman" w:hAnsi="Times New Roman" w:cs="Times New Roman"/>
        </w:rPr>
        <w:t>compare</w:t>
      </w:r>
      <w:r w:rsidRPr="00F9213D">
        <w:rPr>
          <w:rFonts w:ascii="Times New Roman" w:hAnsi="Times New Roman" w:cs="Times New Roman"/>
        </w:rPr>
        <w:t xml:space="preserve"> the current quantitative anisotropy (QA)</w:t>
      </w:r>
      <w:r w:rsidR="00E71296">
        <w:rPr>
          <w:rFonts w:ascii="Times New Roman" w:hAnsi="Times New Roman" w:cs="Times New Roman"/>
        </w:rPr>
        <w:t xml:space="preserve"> results</w:t>
      </w:r>
      <w:r w:rsidRPr="00F9213D">
        <w:rPr>
          <w:rFonts w:ascii="Times New Roman" w:hAnsi="Times New Roman" w:cs="Times New Roman"/>
        </w:rPr>
        <w:t xml:space="preserve"> </w:t>
      </w:r>
      <w:r w:rsidR="00E71296">
        <w:rPr>
          <w:rFonts w:ascii="Times New Roman" w:hAnsi="Times New Roman" w:cs="Times New Roman"/>
        </w:rPr>
        <w:t>to</w:t>
      </w:r>
      <w:r w:rsidRPr="00F9213D">
        <w:rPr>
          <w:rFonts w:ascii="Times New Roman" w:hAnsi="Times New Roman" w:cs="Times New Roman"/>
        </w:rPr>
        <w:t xml:space="preserve"> results </w:t>
      </w:r>
      <w:r w:rsidR="00E71296">
        <w:rPr>
          <w:rFonts w:ascii="Times New Roman" w:hAnsi="Times New Roman" w:cs="Times New Roman"/>
        </w:rPr>
        <w:t xml:space="preserve">obtained </w:t>
      </w:r>
      <w:r w:rsidRPr="00F9213D">
        <w:rPr>
          <w:rFonts w:ascii="Times New Roman" w:hAnsi="Times New Roman" w:cs="Times New Roman"/>
        </w:rPr>
        <w:t>with generalized fractional anisotropy (GFA), which is a common</w:t>
      </w:r>
      <w:r w:rsidR="00E71296">
        <w:rPr>
          <w:rFonts w:ascii="Times New Roman" w:hAnsi="Times New Roman" w:cs="Times New Roman"/>
        </w:rPr>
        <w:t>ly used</w:t>
      </w:r>
      <w:r w:rsidRPr="00F9213D">
        <w:rPr>
          <w:rFonts w:ascii="Times New Roman" w:hAnsi="Times New Roman" w:cs="Times New Roman"/>
        </w:rPr>
        <w:t xml:space="preserve"> diffusion metric. Six outliers (i.e., GFA values of more than 3 standard deviations from the mean) were removed from the stria terminalis/fornix GFA analyses. The six participants were retained for analyses of the cingulum bundle and uncinate fasciculus. RM-ANCOVAs were run for each tract with hemisphere as a within-subjects factor and neighborhood disadvantage as a covariate. There was not a significant interaction between hemisphere and neighborhood disadvantage [cingulum bundle: </w:t>
      </w:r>
      <w:proofErr w:type="gramStart"/>
      <w:r w:rsidRPr="00F9213D">
        <w:rPr>
          <w:rFonts w:ascii="Times New Roman" w:hAnsi="Times New Roman" w:cs="Times New Roman"/>
          <w:i/>
          <w:iCs/>
        </w:rPr>
        <w:t>F</w:t>
      </w:r>
      <w:r w:rsidRPr="00F9213D">
        <w:rPr>
          <w:rFonts w:ascii="Times New Roman" w:hAnsi="Times New Roman" w:cs="Times New Roman"/>
        </w:rPr>
        <w:t>(</w:t>
      </w:r>
      <w:proofErr w:type="gramEnd"/>
      <w:r w:rsidRPr="00F9213D">
        <w:rPr>
          <w:rFonts w:ascii="Times New Roman" w:hAnsi="Times New Roman" w:cs="Times New Roman"/>
        </w:rPr>
        <w:t xml:space="preserve">1,295) = 1.934, </w:t>
      </w:r>
      <w:r w:rsidRPr="00F9213D">
        <w:rPr>
          <w:rFonts w:ascii="Times New Roman" w:hAnsi="Times New Roman" w:cs="Times New Roman"/>
          <w:i/>
          <w:iCs/>
        </w:rPr>
        <w:t>p</w:t>
      </w:r>
      <w:r w:rsidRPr="00F9213D">
        <w:rPr>
          <w:rFonts w:ascii="Times New Roman" w:hAnsi="Times New Roman" w:cs="Times New Roman"/>
        </w:rPr>
        <w:t xml:space="preserve"> &gt; 0.05; uncinate fasciculus: </w:t>
      </w:r>
      <w:r w:rsidRPr="00F9213D">
        <w:rPr>
          <w:rFonts w:ascii="Times New Roman" w:hAnsi="Times New Roman" w:cs="Times New Roman"/>
          <w:i/>
          <w:iCs/>
        </w:rPr>
        <w:t>F</w:t>
      </w:r>
      <w:r w:rsidRPr="00F9213D">
        <w:rPr>
          <w:rFonts w:ascii="Times New Roman" w:hAnsi="Times New Roman" w:cs="Times New Roman"/>
        </w:rPr>
        <w:t xml:space="preserve">(1,273) = 0.015, </w:t>
      </w:r>
      <w:r w:rsidRPr="00F9213D">
        <w:rPr>
          <w:rFonts w:ascii="Times New Roman" w:hAnsi="Times New Roman" w:cs="Times New Roman"/>
          <w:i/>
          <w:iCs/>
        </w:rPr>
        <w:t>p</w:t>
      </w:r>
      <w:r w:rsidRPr="00F9213D">
        <w:rPr>
          <w:rFonts w:ascii="Times New Roman" w:hAnsi="Times New Roman" w:cs="Times New Roman"/>
        </w:rPr>
        <w:t xml:space="preserve"> &gt; 0.05; stria terminalis/fornix: </w:t>
      </w:r>
      <w:r w:rsidRPr="00F9213D">
        <w:rPr>
          <w:rFonts w:ascii="Times New Roman" w:hAnsi="Times New Roman" w:cs="Times New Roman"/>
          <w:i/>
          <w:iCs/>
        </w:rPr>
        <w:t>F</w:t>
      </w:r>
      <w:r w:rsidRPr="00F9213D">
        <w:rPr>
          <w:rFonts w:ascii="Times New Roman" w:hAnsi="Times New Roman" w:cs="Times New Roman"/>
        </w:rPr>
        <w:t xml:space="preserve">(1,232) = 0.514, </w:t>
      </w:r>
      <w:r w:rsidRPr="00F9213D">
        <w:rPr>
          <w:rFonts w:ascii="Times New Roman" w:hAnsi="Times New Roman" w:cs="Times New Roman"/>
          <w:i/>
          <w:iCs/>
        </w:rPr>
        <w:t>p</w:t>
      </w:r>
      <w:r w:rsidRPr="00F9213D">
        <w:rPr>
          <w:rFonts w:ascii="Times New Roman" w:hAnsi="Times New Roman" w:cs="Times New Roman"/>
        </w:rPr>
        <w:t xml:space="preserve"> &gt; 0.05]. Therefore, GFA was averaged across each hemisphere (i.e., across the left and right tract) to produce three GFA values, one for each tract of interest. These values were used in subsequent analyses. </w:t>
      </w:r>
      <w:r w:rsidR="00E71296">
        <w:rPr>
          <w:rFonts w:ascii="Times New Roman" w:hAnsi="Times New Roman" w:cs="Times New Roman"/>
        </w:rPr>
        <w:t xml:space="preserve">Multiple comparison correction was accomplished using a Bonferroni correction for the three regressions performed in these analyses, resulting in a critical p-value of 0.017 (0.05/3 = 0.017). </w:t>
      </w:r>
    </w:p>
    <w:p w14:paraId="1AF6967D" w14:textId="6D157746" w:rsidR="00AD4F69" w:rsidRPr="00F9213D" w:rsidRDefault="00AD4F69" w:rsidP="00F9213D">
      <w:pPr>
        <w:snapToGrid w:val="0"/>
        <w:spacing w:line="360" w:lineRule="auto"/>
        <w:ind w:firstLine="720"/>
        <w:jc w:val="both"/>
        <w:rPr>
          <w:rFonts w:ascii="Times New Roman" w:hAnsi="Times New Roman" w:cs="Times New Roman"/>
        </w:rPr>
      </w:pPr>
      <w:r w:rsidRPr="00F9213D">
        <w:rPr>
          <w:rFonts w:ascii="Times New Roman" w:hAnsi="Times New Roman" w:cs="Times New Roman"/>
        </w:rPr>
        <w:t>Linear regressions predicting GFA of the cingulum bundle (</w:t>
      </w:r>
      <w:proofErr w:type="gramStart"/>
      <w:r w:rsidRPr="00F9213D">
        <w:rPr>
          <w:rFonts w:ascii="Times New Roman" w:hAnsi="Times New Roman" w:cs="Times New Roman"/>
          <w:i/>
        </w:rPr>
        <w:t>F</w:t>
      </w:r>
      <w:r w:rsidRPr="00F9213D">
        <w:rPr>
          <w:rFonts w:ascii="Times New Roman" w:hAnsi="Times New Roman" w:cs="Times New Roman"/>
        </w:rPr>
        <w:t>(</w:t>
      </w:r>
      <w:proofErr w:type="gramEnd"/>
      <w:r w:rsidRPr="00F9213D">
        <w:rPr>
          <w:rFonts w:ascii="Times New Roman" w:hAnsi="Times New Roman" w:cs="Times New Roman"/>
        </w:rPr>
        <w:t xml:space="preserve">4,295) = 3.724, </w:t>
      </w:r>
      <w:r w:rsidRPr="00F9213D">
        <w:rPr>
          <w:rFonts w:ascii="Times New Roman" w:hAnsi="Times New Roman" w:cs="Times New Roman"/>
          <w:i/>
        </w:rPr>
        <w:t>p</w:t>
      </w:r>
      <w:r w:rsidRPr="00F9213D">
        <w:rPr>
          <w:rFonts w:ascii="Times New Roman" w:hAnsi="Times New Roman" w:cs="Times New Roman"/>
        </w:rPr>
        <w:t xml:space="preserve"> = 0.006); uncinate fasciculus (</w:t>
      </w:r>
      <w:r w:rsidRPr="00F9213D">
        <w:rPr>
          <w:rFonts w:ascii="Times New Roman" w:hAnsi="Times New Roman" w:cs="Times New Roman"/>
          <w:i/>
        </w:rPr>
        <w:t>F</w:t>
      </w:r>
      <w:r w:rsidRPr="00F9213D">
        <w:rPr>
          <w:rFonts w:ascii="Times New Roman" w:hAnsi="Times New Roman" w:cs="Times New Roman"/>
        </w:rPr>
        <w:t xml:space="preserve">(4,273) = 21.041, </w:t>
      </w:r>
      <w:r w:rsidRPr="00F9213D">
        <w:rPr>
          <w:rFonts w:ascii="Times New Roman" w:hAnsi="Times New Roman" w:cs="Times New Roman"/>
          <w:i/>
        </w:rPr>
        <w:t>p</w:t>
      </w:r>
      <w:r w:rsidRPr="00F9213D">
        <w:rPr>
          <w:rFonts w:ascii="Times New Roman" w:hAnsi="Times New Roman" w:cs="Times New Roman"/>
        </w:rPr>
        <w:t xml:space="preserve"> &lt; 0.001); and stria terminalis/fornix (</w:t>
      </w:r>
      <w:r w:rsidRPr="00F9213D">
        <w:rPr>
          <w:rFonts w:ascii="Times New Roman" w:hAnsi="Times New Roman" w:cs="Times New Roman"/>
          <w:i/>
        </w:rPr>
        <w:t>F</w:t>
      </w:r>
      <w:r w:rsidRPr="00F9213D">
        <w:rPr>
          <w:rFonts w:ascii="Times New Roman" w:hAnsi="Times New Roman" w:cs="Times New Roman"/>
        </w:rPr>
        <w:t xml:space="preserve">(4,232) = 39.960, </w:t>
      </w:r>
      <w:r w:rsidRPr="00F9213D">
        <w:rPr>
          <w:rFonts w:ascii="Times New Roman" w:hAnsi="Times New Roman" w:cs="Times New Roman"/>
          <w:i/>
        </w:rPr>
        <w:t>p</w:t>
      </w:r>
      <w:r w:rsidRPr="00F9213D">
        <w:rPr>
          <w:rFonts w:ascii="Times New Roman" w:hAnsi="Times New Roman" w:cs="Times New Roman"/>
        </w:rPr>
        <w:t xml:space="preserve"> &lt; 0.001) were significant</w:t>
      </w:r>
      <w:r w:rsidR="00585E87" w:rsidRPr="00F9213D">
        <w:rPr>
          <w:rFonts w:ascii="Times New Roman" w:hAnsi="Times New Roman" w:cs="Times New Roman"/>
        </w:rPr>
        <w:t xml:space="preserve"> (Supplementary Table S4)</w:t>
      </w:r>
      <w:r w:rsidRPr="00F9213D">
        <w:rPr>
          <w:rFonts w:ascii="Times New Roman" w:hAnsi="Times New Roman" w:cs="Times New Roman"/>
        </w:rPr>
        <w:t xml:space="preserve">. Adolescent neighborhood disadvantage was a significant predictor of young adult GFA in the cingulum bundle (β = 0.18, </w:t>
      </w:r>
      <w:r w:rsidRPr="00F9213D">
        <w:rPr>
          <w:rFonts w:ascii="Times New Roman" w:hAnsi="Times New Roman" w:cs="Times New Roman"/>
          <w:i/>
        </w:rPr>
        <w:t>p</w:t>
      </w:r>
      <w:r w:rsidRPr="00F9213D">
        <w:rPr>
          <w:rFonts w:ascii="Times New Roman" w:hAnsi="Times New Roman" w:cs="Times New Roman"/>
        </w:rPr>
        <w:t xml:space="preserve"> = 0.003)</w:t>
      </w:r>
      <w:r w:rsidR="005752AE">
        <w:rPr>
          <w:rFonts w:ascii="Times New Roman" w:hAnsi="Times New Roman" w:cs="Times New Roman"/>
        </w:rPr>
        <w:t xml:space="preserve">. Specifically, GFA increased as </w:t>
      </w:r>
      <w:r w:rsidRPr="00F9213D">
        <w:rPr>
          <w:rFonts w:ascii="Times New Roman" w:hAnsi="Times New Roman" w:cs="Times New Roman"/>
        </w:rPr>
        <w:t xml:space="preserve">neighborhood disadvantage </w:t>
      </w:r>
      <w:r w:rsidR="005752AE">
        <w:rPr>
          <w:rFonts w:ascii="Times New Roman" w:hAnsi="Times New Roman" w:cs="Times New Roman"/>
        </w:rPr>
        <w:t>increased</w:t>
      </w:r>
      <w:r w:rsidRPr="00F9213D">
        <w:rPr>
          <w:rFonts w:ascii="Times New Roman" w:hAnsi="Times New Roman" w:cs="Times New Roman"/>
        </w:rPr>
        <w:t xml:space="preserve">. Adolescent neighborhood disadvantage was not a significant predictor of GFA in the uncinate fasciculus or the stria terminalis/fornix (both </w:t>
      </w:r>
      <w:proofErr w:type="spellStart"/>
      <w:r w:rsidRPr="00F9213D">
        <w:rPr>
          <w:rFonts w:ascii="Times New Roman" w:hAnsi="Times New Roman" w:cs="Times New Roman"/>
          <w:i/>
        </w:rPr>
        <w:t>p</w:t>
      </w:r>
      <w:r w:rsidRPr="00F9213D">
        <w:rPr>
          <w:rFonts w:ascii="Times New Roman" w:hAnsi="Times New Roman" w:cs="Times New Roman"/>
          <w:iCs/>
        </w:rPr>
        <w:t>s</w:t>
      </w:r>
      <w:proofErr w:type="spellEnd"/>
      <w:r w:rsidRPr="00F9213D">
        <w:rPr>
          <w:rFonts w:ascii="Times New Roman" w:hAnsi="Times New Roman" w:cs="Times New Roman"/>
        </w:rPr>
        <w:t xml:space="preserve"> &gt; 0.05). Violence exposure was not a significant predictor of GFA in any of the three tracts (all </w:t>
      </w:r>
      <w:proofErr w:type="spellStart"/>
      <w:r w:rsidRPr="00F9213D">
        <w:rPr>
          <w:rFonts w:ascii="Times New Roman" w:hAnsi="Times New Roman" w:cs="Times New Roman"/>
          <w:i/>
          <w:iCs/>
        </w:rPr>
        <w:t>p</w:t>
      </w:r>
      <w:r w:rsidRPr="00F9213D">
        <w:rPr>
          <w:rFonts w:ascii="Times New Roman" w:hAnsi="Times New Roman" w:cs="Times New Roman"/>
        </w:rPr>
        <w:t>s</w:t>
      </w:r>
      <w:proofErr w:type="spellEnd"/>
      <w:r w:rsidRPr="00F9213D">
        <w:rPr>
          <w:rFonts w:ascii="Times New Roman" w:hAnsi="Times New Roman" w:cs="Times New Roman"/>
        </w:rPr>
        <w:t xml:space="preserve"> &gt; 0.05).</w:t>
      </w:r>
    </w:p>
    <w:p w14:paraId="334F49A3" w14:textId="03C8D247" w:rsidR="00A0373C" w:rsidRPr="00F9213D" w:rsidRDefault="00A0373C" w:rsidP="00F9213D">
      <w:pPr>
        <w:snapToGrid w:val="0"/>
        <w:spacing w:line="360" w:lineRule="auto"/>
        <w:jc w:val="both"/>
        <w:rPr>
          <w:rFonts w:ascii="Times New Roman" w:hAnsi="Times New Roman" w:cs="Times New Roman"/>
        </w:rPr>
      </w:pPr>
    </w:p>
    <w:p w14:paraId="4A379C06" w14:textId="0FE3D279" w:rsidR="00A0373C" w:rsidRPr="00F9213D" w:rsidRDefault="00A0373C" w:rsidP="00F9213D">
      <w:pPr>
        <w:snapToGrid w:val="0"/>
        <w:spacing w:line="360" w:lineRule="auto"/>
        <w:jc w:val="both"/>
        <w:rPr>
          <w:rFonts w:ascii="Times New Roman" w:hAnsi="Times New Roman" w:cs="Times New Roman"/>
          <w:b/>
          <w:bCs/>
        </w:rPr>
      </w:pPr>
      <w:r w:rsidRPr="00F9213D">
        <w:rPr>
          <w:rFonts w:ascii="Times New Roman" w:hAnsi="Times New Roman" w:cs="Times New Roman"/>
          <w:b/>
          <w:bCs/>
        </w:rPr>
        <w:t>Supplementary Discussion</w:t>
      </w:r>
    </w:p>
    <w:p w14:paraId="12BF10D9" w14:textId="325CCE36" w:rsidR="00BD0A61" w:rsidRPr="0047022A" w:rsidRDefault="00220EDF" w:rsidP="0047022A">
      <w:pPr>
        <w:snapToGrid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We observed both similarities and differences in the QA and GFA analyses that were completed. Analyses with both QA and GFA consistently showed no relationship between these diffusion metrics and violence exposure. In contrast, QA and GFA showed different relationships with neighborhood disadvantage. Specifically, QA showed a negative relationship with neighborhood disadvantage in all three tracts (i.e., cingulum bundle, uncinate fasciculus, and stria terminalis/fornix). In contrast, GFA showed no relationship to neighborhood disadvantage </w:t>
      </w:r>
      <w:r>
        <w:rPr>
          <w:rFonts w:ascii="Times New Roman" w:eastAsia="Times New Roman" w:hAnsi="Times New Roman" w:cs="Times New Roman"/>
        </w:rPr>
        <w:lastRenderedPageBreak/>
        <w:t xml:space="preserve">in the uncinate fasciculus and stria/terminalis, and showed a positive relationship with neighborhood disadvantage in the cingulum bundle. </w:t>
      </w:r>
      <w:r w:rsidR="00372B5C" w:rsidRPr="00F9213D">
        <w:rPr>
          <w:rFonts w:ascii="Times New Roman" w:eastAsia="Times New Roman" w:hAnsi="Times New Roman" w:cs="Times New Roman"/>
        </w:rPr>
        <w:t>The consistency of QA findings across the three tracts in the present investigation suggests that the</w:t>
      </w:r>
      <w:r w:rsidR="005752AE">
        <w:rPr>
          <w:rFonts w:ascii="Times New Roman" w:eastAsia="Times New Roman" w:hAnsi="Times New Roman" w:cs="Times New Roman"/>
        </w:rPr>
        <w:t>se</w:t>
      </w:r>
      <w:r w:rsidR="00372B5C" w:rsidRPr="00F9213D">
        <w:rPr>
          <w:rFonts w:ascii="Times New Roman" w:eastAsia="Times New Roman" w:hAnsi="Times New Roman" w:cs="Times New Roman"/>
        </w:rPr>
        <w:t xml:space="preserve"> results are not simply false positive findings. Additionally, results pertaining to violence exposure were consistent across tracts and across QA and GFA</w:t>
      </w:r>
      <w:r>
        <w:rPr>
          <w:rFonts w:ascii="Times New Roman" w:eastAsia="Times New Roman" w:hAnsi="Times New Roman" w:cs="Times New Roman"/>
        </w:rPr>
        <w:t xml:space="preserve"> analyses</w:t>
      </w:r>
      <w:r w:rsidR="00372B5C" w:rsidRPr="00F9213D">
        <w:rPr>
          <w:rFonts w:ascii="Times New Roman" w:eastAsia="Times New Roman" w:hAnsi="Times New Roman" w:cs="Times New Roman"/>
        </w:rPr>
        <w:t xml:space="preserve"> (i.e., there was no relationship), again suggesting this is not simply a rejection of true findings. The opposite could be argued for the GFA findings. Specifically, only one track showed a significant effect (i.e., the cingulum bundle) and that effect was in a direction that was inconsistent with predictions and with prior work</w:t>
      </w:r>
      <w:r w:rsidR="000018CA">
        <w:rPr>
          <w:rFonts w:ascii="Times New Roman" w:eastAsia="Times New Roman" w:hAnsi="Times New Roman" w:cs="Times New Roman"/>
        </w:rPr>
        <w:t xml:space="preserve"> </w:t>
      </w:r>
      <w:r w:rsidR="000018CA" w:rsidRPr="00F9213D">
        <w:rPr>
          <w:rFonts w:ascii="Times New Roman" w:eastAsia="Times New Roman" w:hAnsi="Times New Roman" w:cs="Times New Roman"/>
        </w:rPr>
        <w:fldChar w:fldCharType="begin"/>
      </w:r>
      <w:r w:rsidR="000018CA" w:rsidRPr="00F9213D">
        <w:rPr>
          <w:rFonts w:ascii="Times New Roman" w:eastAsia="Times New Roman" w:hAnsi="Times New Roman" w:cs="Times New Roman"/>
        </w:rPr>
        <w:instrText xml:space="preserve"> ADDIN ZOTERO_ITEM CSL_CITATION {"citationID":"gjYE0HHB","properties":{"formattedCitation":"(Fields, 2008; McLaughlin et al., 2017; Perkins &amp; Graham-Bermann, 2012; Sheridan &amp; McLaughlin, 2014)","plainCitation":"(Fields, 2008; McLaughlin et al., 2017; Perkins &amp; Graham-Bermann, 2012; Sheridan &amp; McLaughlin, 2014)","noteIndex":0},"citationItems":[{"id":3581,"uris":["http://zotero.org/users/1464333/items/LV4GHXF3"],"uri":["http://zotero.org/users/1464333/items/LV4GHXF3"],"itemData":{"id":3581,"type":"article-journal","abstract":"White matter is the brain region underlying the gray matter cortex, composed of neuronal fibers coated with electrical insulation called myelin. Previously of interest in demyelinating diseases such as multiple sclerosis, myelin is attracting new interest as an unexpected contributor to a wide range of psychiatric disorders, including depression and schizophrenia. This is stimulating research into myelin involvement in normal cognitive function, learning and IQ. Myelination continues for decades in the human brain; it is modifiable by experience, and it affects information processing by regulating the velocity and synchrony of impulse conduction between distant cortical regions. Cell-culture studies have identified molecular mechanisms regulating myelination by electrical activity, and myelin also limits the critical period for learning through inhibitory proteins that suppress axon sprouting and synaptogenesis.","container-title":"Trends in Neurosciences","DOI":"10.1016/j.tins.2008.04.001","ISSN":"0166-2236","issue":"7","journalAbbreviation":"Trends Neurosci.","language":"eng","note":"PMID: 18538868\nPMCID: PMC2486416","page":"361-370","source":"PubMed","title":"White matter in learning, cognition and psychiatric disorders","volume":"31","author":[{"family":"Fields","given":"R. Douglas"}],"issued":{"date-parts":[["2008",7]]}}},{"id":3721,"uris":["http://zotero.org/users/1464333/items/IAT4UWN9"],"uri":["http://zotero.org/users/1464333/items/IAT4UWN9"],"itemData":{"id":3721,"type":"article-journal","abstract":"The human brain requires a wide variety of experiences and environmental inputs in order to develop normally. Children who are neglected by caregivers or raised in institutional environments are deprived of numerous types of species-expectant environmental experiences. In this review, we articulate a model of how the absence of cognitive stimulation and sensory, motor, linguistic, and social experiences common among children raised in deprived early environments constrains early forms of learning, producing long-term deficits in complex cognitive function and associative learning. Building on evidence from animal models, we propose that deprivation accelerates the neurodevelopmental process of synaptic pruning and limits myelination, resulting in age-specific reductions in cortical thickness and white matter integrity among children raised in deprived early environments. We review evidence linking early experiences of psychosocial deprivation to reductions in cognitive ability, associative and implicit learning, language skills, and executive functions as well as atypical patterns of cortical and white matter development-domains that should be profoundly influenced by deprivation through the learning and neural mechanisms we propose. These patterns of atypical development are difficult to explain with existing models that emphasize stress pathways and accelerated limbic system development. A learning account of how deprived early environments influence cognitive and neural development provides a complementary perspective to stress models and highlights novel pathways through which deprivation might confer risk for internalizing and externalizing psychopathology. We end by reviewing evidence for plasticity in cognitive and neural development among children raised in deprived environments following interventions that improve caregiving quality.","container-title":"Biological Psychiatry","DOI":"10.1016/j.biopsych.2017.02.1096","ISSN":"1873-2402","issue":"7","journalAbbreviation":"Biol. Psychiatry","language":"eng","note":"PMID: 28392082\nPMCID: PMC5572554","page":"462-471","source":"PubMed","title":"Neglect as a Violation of Species-Expectant Experience: Neurodevelopmental Consequences","title-short":"Neglect as a Violation of Species-Expectant Experience","volume":"82","author":[{"family":"McLaughlin","given":"K. A."},{"family":"Sheridan","given":"M. A."},{"family":"Nelson","given":"Charles A."}],"issued":{"date-parts":[["2017",10,1]]}}},{"id":3646,"uris":["http://zotero.org/users/1464333/items/AIGJ5JWK"],"uri":["http://zotero.org/users/1464333/items/AIGJ5JWK"],"itemData":{"id":3646,"type":"article-journal","abstract":"The relation between history of violence exposure and the development of academic and mental health problems is explored. Violence exposed children have an increased risk of developing school-related problems including: mental health problems, learning disabilities, language impairments, and other neurocognitive problems. These problems interact to create a complex web of deficits and disabilities where intervention access points are difficult to assess. Often mental health problems and academic problems develop in parallel. Timing of violence exposure and the developmental stage of the child during exposure complicate our understanding of the underlying mechanism. A model is presented that explores pathways linking violence exposure to aspects of school-related functioning, both academically and behaviorally. Early life stress, in the form of violence exposure, is related to neurocognitive deficits, including executive functioning and problems in self-regulation. Deficits in self-regulation at the level of behavior, and cognitive control and executive functioning, at the level of brain processing, are related to both academic and mental health problems, suggesting a possible psychological mechanism. Biological mechanisms are also included in the model to illustrate the contribution of the stress response, neuroendocrine system response, and neuroanatomical structural and functional impairments associated with violence exposure.","container-title":"Aggression and Violent Behavior","DOI":"10.1016/j.avb.2011.10.001","ISSN":"1359-1789","issue":"1","journalAbbreviation":"Aggress Violent Behav","language":"eng","note":"PMID: 22837647\nPMCID: PMC3402358","page":"89-98","source":"PubMed","title":"Violence Exposure and the Development of School-Related Functioning: Mental Health, Neurocognition, and Learning","title-short":"Violence Exposure and the Development of School-Related Functioning","volume":"17","author":[{"family":"Perkins","given":"Suzanne"},{"family":"Graham-Bermann","given":"Sandra"}],"issued":{"date-parts":[["2012",1]]}}},{"id":3671,"uris":["http://zotero.org/users/1464333/items/IGE8ESJU"],"uri":["http://zotero.org/users/1464333/items/IGE8ESJU"],"itemData":{"id":3671,"type":"article-journal","abstract":"Over the past decade, a growing area of research has focused on adverse childhood experiences (ACEs) and their impacts on neural and developmental outcomes. Work in the field to-date has generally conceptualized ACEs in terms of exposure to stress while overlooking the underlying dimensions of environmental experience that may distinctly impact neural development. Here, we propose a novel framework that differentiates between deprivation (absence of expected cognitive and social input) and threat (presence of a threat to one's physical integrity). We draw support for the neural basis of this distinction from studies on fear learning and sensory deprivation in animals to highlight potential mechanisms through which experiences of threat and deprivation could affect neural structure and function in humans.","container-title":"Trends in Cognitive Sciences","DOI":"10.1016/j.tics.2014.09.001","ISSN":"1879-307X","issue":"11","journalAbbreviation":"Trends Cogn. Sci. (Regul. Ed.)","language":"eng","note":"PMID: 25305194\nPMCID: PMC4252647","page":"580-585","source":"PubMed","title":"Dimensions of early experience and neural development: deprivation and threat","title-short":"Dimensions of early experience and neural development","volume":"18","author":[{"family":"Sheridan","given":"M. A."},{"family":"McLaughlin","given":"K. A."}],"issued":{"date-parts":[["2014",11]]}}}],"schema":"https://github.com/citation-style-language/schema/raw/master/csl-citation.json"} </w:instrText>
      </w:r>
      <w:r w:rsidR="000018CA" w:rsidRPr="00F9213D">
        <w:rPr>
          <w:rFonts w:ascii="Times New Roman" w:eastAsia="Times New Roman" w:hAnsi="Times New Roman" w:cs="Times New Roman"/>
        </w:rPr>
        <w:fldChar w:fldCharType="separate"/>
      </w:r>
      <w:r w:rsidR="000018CA" w:rsidRPr="00F9213D">
        <w:rPr>
          <w:rFonts w:ascii="Times New Roman" w:eastAsia="Times New Roman" w:hAnsi="Times New Roman" w:cs="Times New Roman"/>
          <w:noProof/>
        </w:rPr>
        <w:t>(Fields, 2008; McLaughlin et al., 2017; Perkins &amp; Graham-Bermann, 2012; Sheridan &amp; McLaughlin, 2014)</w:t>
      </w:r>
      <w:r w:rsidR="000018CA" w:rsidRPr="00F9213D">
        <w:rPr>
          <w:rFonts w:ascii="Times New Roman" w:eastAsia="Times New Roman" w:hAnsi="Times New Roman" w:cs="Times New Roman"/>
        </w:rPr>
        <w:fldChar w:fldCharType="end"/>
      </w:r>
      <w:r w:rsidR="00372B5C" w:rsidRPr="00F9213D">
        <w:rPr>
          <w:rFonts w:ascii="Times New Roman" w:eastAsia="Times New Roman" w:hAnsi="Times New Roman" w:cs="Times New Roman"/>
        </w:rPr>
        <w:t xml:space="preserve">. One </w:t>
      </w:r>
      <w:r w:rsidR="00353964">
        <w:rPr>
          <w:rFonts w:ascii="Times New Roman" w:eastAsia="Times New Roman" w:hAnsi="Times New Roman" w:cs="Times New Roman"/>
        </w:rPr>
        <w:t xml:space="preserve">potential </w:t>
      </w:r>
      <w:r w:rsidR="00372B5C" w:rsidRPr="00F9213D">
        <w:rPr>
          <w:rFonts w:ascii="Times New Roman" w:eastAsia="Times New Roman" w:hAnsi="Times New Roman" w:cs="Times New Roman"/>
        </w:rPr>
        <w:t>explanation for the difference in results between QA and GFA is that QA is better at resolving crossing fibers and handling partial volume effects, in which a single voxel falls across multiple types</w:t>
      </w:r>
      <w:r w:rsidR="00353964">
        <w:rPr>
          <w:rFonts w:ascii="Times New Roman" w:eastAsia="Times New Roman" w:hAnsi="Times New Roman" w:cs="Times New Roman"/>
        </w:rPr>
        <w:t xml:space="preserve"> of tissue</w:t>
      </w:r>
      <w:r w:rsidR="00372B5C" w:rsidRPr="00F9213D">
        <w:rPr>
          <w:rFonts w:ascii="Times New Roman" w:eastAsia="Times New Roman" w:hAnsi="Times New Roman" w:cs="Times New Roman"/>
        </w:rPr>
        <w:t xml:space="preserve"> (e.g., white matter and CSF) that have different diffusion properties </w:t>
      </w:r>
      <w:r w:rsidR="009D7271" w:rsidRPr="00F9213D">
        <w:rPr>
          <w:rFonts w:ascii="Times New Roman" w:eastAsia="Times New Roman" w:hAnsi="Times New Roman" w:cs="Times New Roman"/>
        </w:rPr>
        <w:fldChar w:fldCharType="begin"/>
      </w:r>
      <w:r w:rsidR="009D7271" w:rsidRPr="00F9213D">
        <w:rPr>
          <w:rFonts w:ascii="Times New Roman" w:eastAsia="Times New Roman" w:hAnsi="Times New Roman" w:cs="Times New Roman"/>
        </w:rPr>
        <w:instrText xml:space="preserve"> ADDIN ZOTERO_ITEM CSL_CITATION {"citationID":"3ZK1uRXB","properties":{"formattedCitation":"(Yeh et al., 2013, 2016)","plainCitation":"(Yeh et al., 2013, 2016)","noteIndex":0},"citationItems":[{"id":3684,"uris":["http://zotero.org/users/1464333/items/WCZPYP8B"],"uri":["http://zotero.org/users/1464333/items/WCZPYP8B"],"itemData":{"id":3684,"type":"article-journal","abstract":"Diffusion MRI tractography has emerged as a useful and popular tool for mapping connections between brain regions. In this study, we examined the performance of quantitative anisotropy (QA) in facilitating deterministic fiber tracking. Two phantom studies were conducted. The first phantom study examined the susceptibility of fractional anisotropy (FA), generalized factional anisotropy (GFA), and QA to various partial volume effects. The second phantom study examined the spatial resolution of the FA-aided, GFA-aided, and QA-aided tractographies. An in vivo study was conducted to track the arcuate fasciculus, and two neurosurgeons blind to the acquisition and analysis settings were invited to identify false tracks. The performance of QA in assisting fiber tracking was compared with FA, GFA, and anatomical information from T1-weighted images. Our first phantom study showed that QA is less sensitive to the partial volume effects of crossing fibers and free water, suggesting that it is a robust index. The second phantom study showed that the QA-aided tractography has better resolution than the FA-aided and GFA-aided tractography. Our in vivo study further showed that the QA-aided tractography outperforms the FA-aided, GFA-aided, and anatomy-aided tractographies. In the shell scheme (HARDI), the FA-aided, GFA-aided, and anatomy-aided tractographies have 30.7%, 32.6%, and 24.45% of the false tracks, respectively, while the QA-aided tractography has 16.2%. In the grid scheme (DSI), the FA-aided, GFA-aided, and anatomy-aided tractographies have 12.3%, 9.0%, and 10.93% of the false tracks, respectively, while the QA-aided tractography has 4.43%. The QA-aided deterministic fiber tracking may assist fiber tracking studies and facilitate the advancement of human connectomics.","container-title":"PloS One","DOI":"10.1371/journal.pone.0080713","ISSN":"1932-6203","issue":"11","journalAbbreviation":"PLoS ONE","language":"eng","note":"PMID: 24348913\nPMCID: PMC3858183","page":"e80713","source":"PubMed","title":"Deterministic diffusion fiber tracking improved by quantitative anisotropy","volume":"8","author":[{"family":"Yeh","given":"Fang-Cheng"},{"family":"Verstynen","given":"Timothy D."},{"family":"Wang","given":"Yibao"},{"family":"Fernández-Miranda","given":"Juan C."},{"family":"Tseng","given":"Wen-Yih Isaac"}],"issued":{"date-parts":[["2013"]]}}},{"id":4131,"uris":["http://zotero.org/users/1464333/items/4CYMQVX5"],"uri":["http://zotero.org/users/1464333/items/4CYMQVX5"],"itemData":{"id":4131,"type":"article-journal","abstract":"Quantifying differences or similarities in connectomes has been a challenge due to the immense complexity of global brain networks. Here we introduce a noninvasive method that uses diffusion MRI to characterize whole-brain white matter architecture as a single local connectome fingerprint that allows for a direct comparison between structural connectomes. In four independently acquired data sets with repeated scans (total N = 213), we show that the local connectome fingerprint is highly specific to an individual, allowing for an accurate self-versus-others classification that achieved 100% accuracy across 17,398 identification tests. The estimated classification error was approximately one thousand times smaller than fingerprints derived from diffusivity-based measures or region-to-region connectivity patterns for repeat scans acquired within 3 months. The local connectome fingerprint also revealed neuroplasticity within an individual reflected as a decreasing trend in self-similarity across time, whereas this change was not observed in the diffusivity measures. Moreover, the local connectome fingerprint can be used as a phenotypic marker, revealing 12.51% similarity between monozygotic twins, 5.14% between dizygotic twins, and 4.51% between none-twin siblings, relative to differences between unrelated subjects. This novel approach opens a new door for probing the influence of pathological, genetic, social, or environmental factors on the unique configuration of the human connectome.","container-title":"PLoS computational biology","DOI":"10.1371/journal.pcbi.1005203","ISSN":"1553-7358","issue":"11","journalAbbreviation":"PLoS Comput Biol","language":"eng","note":"PMID: 27846212\nPMCID: PMC5112901","page":"e1005203","source":"PubMed","title":"Quantifying Differences and Similarities in Whole-Brain White Matter Architecture Using Local Connectome Fingerprints","volume":"12","author":[{"family":"Yeh","given":"Fang-Cheng"},{"family":"Vettel","given":"Jean M."},{"family":"Singh","given":"Aarti"},{"family":"Poczos","given":"Barnabas"},{"family":"Grafton","given":"Scott T."},{"family":"Erickson","given":"Kirk I."},{"family":"Tseng","given":"Wen-Yih I."},{"family":"Verstynen","given":"Timothy D."}],"issued":{"date-parts":[["2016",11]]}}}],"schema":"https://github.com/citation-style-language/schema/raw/master/csl-citation.json"} </w:instrText>
      </w:r>
      <w:r w:rsidR="009D7271" w:rsidRPr="00F9213D">
        <w:rPr>
          <w:rFonts w:ascii="Times New Roman" w:eastAsia="Times New Roman" w:hAnsi="Times New Roman" w:cs="Times New Roman"/>
        </w:rPr>
        <w:fldChar w:fldCharType="separate"/>
      </w:r>
      <w:r w:rsidR="009D7271" w:rsidRPr="00F9213D">
        <w:rPr>
          <w:rFonts w:ascii="Times New Roman" w:eastAsia="Times New Roman" w:hAnsi="Times New Roman" w:cs="Times New Roman"/>
          <w:noProof/>
        </w:rPr>
        <w:t>(Yeh et al., 2013, 2016)</w:t>
      </w:r>
      <w:r w:rsidR="009D7271" w:rsidRPr="00F9213D">
        <w:rPr>
          <w:rFonts w:ascii="Times New Roman" w:eastAsia="Times New Roman" w:hAnsi="Times New Roman" w:cs="Times New Roman"/>
        </w:rPr>
        <w:fldChar w:fldCharType="end"/>
      </w:r>
      <w:r w:rsidR="00A0373C" w:rsidRPr="00F9213D">
        <w:rPr>
          <w:rFonts w:ascii="Times New Roman" w:eastAsia="Times New Roman" w:hAnsi="Times New Roman" w:cs="Times New Roman"/>
        </w:rPr>
        <w:t xml:space="preserve">. </w:t>
      </w:r>
      <w:r w:rsidR="00B200DE" w:rsidRPr="00F9213D">
        <w:rPr>
          <w:rFonts w:ascii="Times New Roman" w:eastAsia="Times New Roman" w:hAnsi="Times New Roman" w:cs="Times New Roman"/>
        </w:rPr>
        <w:t xml:space="preserve">In fact, prior work suggests that QA is able to detect group differences in white matter </w:t>
      </w:r>
      <w:r w:rsidR="009D7271" w:rsidRPr="00F9213D">
        <w:rPr>
          <w:rFonts w:ascii="Times New Roman" w:eastAsia="Times New Roman" w:hAnsi="Times New Roman" w:cs="Times New Roman"/>
        </w:rPr>
        <w:t>where</w:t>
      </w:r>
      <w:r w:rsidR="00B200DE" w:rsidRPr="00F9213D">
        <w:rPr>
          <w:rFonts w:ascii="Times New Roman" w:eastAsia="Times New Roman" w:hAnsi="Times New Roman" w:cs="Times New Roman"/>
        </w:rPr>
        <w:t xml:space="preserve"> FA cannot</w:t>
      </w:r>
      <w:r w:rsidR="009D7271" w:rsidRPr="00F9213D">
        <w:rPr>
          <w:rFonts w:ascii="Times New Roman" w:eastAsia="Times New Roman" w:hAnsi="Times New Roman" w:cs="Times New Roman"/>
        </w:rPr>
        <w:t xml:space="preserve"> </w:t>
      </w:r>
      <w:r w:rsidR="009D7271" w:rsidRPr="00F9213D">
        <w:rPr>
          <w:rFonts w:ascii="Times New Roman" w:eastAsia="Times New Roman" w:hAnsi="Times New Roman" w:cs="Times New Roman"/>
        </w:rPr>
        <w:fldChar w:fldCharType="begin"/>
      </w:r>
      <w:r w:rsidR="009D7271" w:rsidRPr="00F9213D">
        <w:rPr>
          <w:rFonts w:ascii="Times New Roman" w:eastAsia="Times New Roman" w:hAnsi="Times New Roman" w:cs="Times New Roman"/>
        </w:rPr>
        <w:instrText xml:space="preserve"> ADDIN ZOTERO_ITEM CSL_CITATION {"citationID":"1P8Es2v0","properties":{"formattedCitation":"(Volbers et al., 2020)","plainCitation":"(Volbers et al., 2020)","noteIndex":0},"citationItems":[{"id":4193,"uris":["http://zotero.org/users/1464333/items/8ZY5UW7D"],"uri":["http://zotero.org/users/1464333/items/8ZY5UW7D"],"itemData":{"id":4193,"type":"article-journal","abstract":"Abstract\n            \n              Intracerebral hemorrhage (ICH) prognostication during the acute phase is often subjective among physicians and often affects treatment decisions. The present study explores objective imaging parameters using quantitative corticospinal tract (CST) fiber reconstruction during the acute phase of ICH and correlates these parameters with functional outcome and patient recovery. We prospectively enrolled nonsurgical spontaneous supratentorial ICH patients and obtained an MRI scan on day 5 ± 1. Q-space diffeomorphic reconstruction was performed using DSI Studio, and quantitative anisotropy (QA) was calculated. The CST was reconstructed based on QA. The dichotomized modified Rankin Scale score on day 90 (favorable outcome = 0–2) and Barthel Index (favorable recovery = 100 on day 90 or improvement between discharge and day 90 &gt; 60%) were assessed. Thirty-three patients, median age 72 years (interquartile range (IQR) 64–83), 21 female (64%), 21 (64%) with lobar hemorrhage, median ICH volume on admission 15.0 (IQR 7.0–27.4) mL, were included. Sixteen patients (48%) had a favorable outcome and 24 (73%) had a favorable recovery. The mean number of ipsilesional reconstructed CST fiber pathways was higher in patients with favorable outcomes (153 (standard deviation (SD) 103) vs. 60 (SD 39),\n              p\n               = 0.003) and predicted outcome after adjustment (Exp(B) = 1.016 (95% CI = 1.002–1.030)). QA in the ipsilesional posterior limb of the internal capsule showed a trend towards an association with favorable outcome (Exp(B) = 1.194 (95% CI = 0.991–1.439 (adjusted))). The total (ipsilesional + contralesional) number of reconstructed fiber pathways was associated with favorable recovery (Exp(B) = 1.025 (95% CI = 1.003–1.047 (adjusted))). Quantitative tractography parameters assessed in the acute phase of ICH may represent a promising predictor of long-term outcome and recovery. This might facilitate prognostic evaluation and organization of rehabilitation.","container-title":"Translational Stroke Research","DOI":"10.1007/s12975-020-00850-9","ISSN":"1868-4483, 1868-601X","journalAbbreviation":"Transl. Stroke Res.","language":"en","source":"DOI.org (Crossref)","title":"Quantitative Corticospinal Tract Assessment in Acute Intracerebral Hemorrhage","URL":"http://link.springer.com/10.1007/s12975-020-00850-9","author":[{"family":"Volbers","given":"Bastian"},{"family":"Mennecke","given":"Angelika"},{"family":"Kästle","given":"Nicola"},{"family":"Huttner","given":"Hagen B."},{"family":"Schwab","given":"Stefan"},{"family":"Schmidt","given":"Manuel A."},{"family":"Engelhorn","given":"Tobias"},{"family":"Doerfler","given":"Arnd"}],"accessed":{"date-parts":[["2021",4,21]]},"issued":{"date-parts":[["2020",9,21]]}}}],"schema":"https://github.com/citation-style-language/schema/raw/master/csl-citation.json"} </w:instrText>
      </w:r>
      <w:r w:rsidR="009D7271" w:rsidRPr="00F9213D">
        <w:rPr>
          <w:rFonts w:ascii="Times New Roman" w:eastAsia="Times New Roman" w:hAnsi="Times New Roman" w:cs="Times New Roman"/>
        </w:rPr>
        <w:fldChar w:fldCharType="separate"/>
      </w:r>
      <w:r w:rsidR="009D7271" w:rsidRPr="00F9213D">
        <w:rPr>
          <w:rFonts w:ascii="Times New Roman" w:eastAsia="Times New Roman" w:hAnsi="Times New Roman" w:cs="Times New Roman"/>
          <w:noProof/>
        </w:rPr>
        <w:t>(Volbers et al., 2020)</w:t>
      </w:r>
      <w:r w:rsidR="009D7271" w:rsidRPr="00F9213D">
        <w:rPr>
          <w:rFonts w:ascii="Times New Roman" w:eastAsia="Times New Roman" w:hAnsi="Times New Roman" w:cs="Times New Roman"/>
        </w:rPr>
        <w:fldChar w:fldCharType="end"/>
      </w:r>
      <w:r w:rsidR="00B200DE" w:rsidRPr="00F9213D">
        <w:rPr>
          <w:rFonts w:ascii="Times New Roman" w:eastAsia="Times New Roman" w:hAnsi="Times New Roman" w:cs="Times New Roman"/>
        </w:rPr>
        <w:t xml:space="preserve">. </w:t>
      </w:r>
      <w:r w:rsidR="00353964">
        <w:rPr>
          <w:rFonts w:ascii="Times New Roman" w:eastAsia="Times New Roman" w:hAnsi="Times New Roman" w:cs="Times New Roman"/>
        </w:rPr>
        <w:t>More s</w:t>
      </w:r>
      <w:r w:rsidR="00353964" w:rsidRPr="00F9213D">
        <w:rPr>
          <w:rFonts w:ascii="Times New Roman" w:eastAsia="Times New Roman" w:hAnsi="Times New Roman" w:cs="Times New Roman"/>
        </w:rPr>
        <w:t>pecifically</w:t>
      </w:r>
      <w:r w:rsidR="009D7271" w:rsidRPr="00F9213D">
        <w:rPr>
          <w:rFonts w:ascii="Times New Roman" w:eastAsia="Times New Roman" w:hAnsi="Times New Roman" w:cs="Times New Roman"/>
        </w:rPr>
        <w:t xml:space="preserve">, this </w:t>
      </w:r>
      <w:r w:rsidR="00353964">
        <w:rPr>
          <w:rFonts w:ascii="Times New Roman" w:eastAsia="Times New Roman" w:hAnsi="Times New Roman" w:cs="Times New Roman"/>
        </w:rPr>
        <w:t>prior research</w:t>
      </w:r>
      <w:r w:rsidR="00353964" w:rsidRPr="00F9213D">
        <w:rPr>
          <w:rFonts w:ascii="Times New Roman" w:eastAsia="Times New Roman" w:hAnsi="Times New Roman" w:cs="Times New Roman"/>
        </w:rPr>
        <w:t xml:space="preserve"> </w:t>
      </w:r>
      <w:r w:rsidR="009D7271" w:rsidRPr="00F9213D">
        <w:rPr>
          <w:rFonts w:ascii="Times New Roman" w:eastAsia="Times New Roman" w:hAnsi="Times New Roman" w:cs="Times New Roman"/>
        </w:rPr>
        <w:t xml:space="preserve">examined differences in FA and QA between those who had a favorable </w:t>
      </w:r>
      <w:r w:rsidR="00353964">
        <w:rPr>
          <w:rFonts w:ascii="Times New Roman" w:eastAsia="Times New Roman" w:hAnsi="Times New Roman" w:cs="Times New Roman"/>
        </w:rPr>
        <w:t>compared to</w:t>
      </w:r>
      <w:r w:rsidR="00353964" w:rsidRPr="00F9213D">
        <w:rPr>
          <w:rFonts w:ascii="Times New Roman" w:eastAsia="Times New Roman" w:hAnsi="Times New Roman" w:cs="Times New Roman"/>
        </w:rPr>
        <w:t xml:space="preserve"> </w:t>
      </w:r>
      <w:r w:rsidR="009D7271" w:rsidRPr="00F9213D">
        <w:rPr>
          <w:rFonts w:ascii="Times New Roman" w:eastAsia="Times New Roman" w:hAnsi="Times New Roman" w:cs="Times New Roman"/>
        </w:rPr>
        <w:t xml:space="preserve">a poor recovery </w:t>
      </w:r>
      <w:r w:rsidR="00353964">
        <w:rPr>
          <w:rFonts w:ascii="Times New Roman" w:eastAsia="Times New Roman" w:hAnsi="Times New Roman" w:cs="Times New Roman"/>
        </w:rPr>
        <w:t>from</w:t>
      </w:r>
      <w:r w:rsidR="009D7271" w:rsidRPr="00F9213D">
        <w:rPr>
          <w:rFonts w:ascii="Times New Roman" w:eastAsia="Times New Roman" w:hAnsi="Times New Roman" w:cs="Times New Roman"/>
        </w:rPr>
        <w:t xml:space="preserve"> stroke </w:t>
      </w:r>
      <w:r w:rsidR="009D7271" w:rsidRPr="00F9213D">
        <w:rPr>
          <w:rFonts w:ascii="Times New Roman" w:eastAsia="Times New Roman" w:hAnsi="Times New Roman" w:cs="Times New Roman"/>
        </w:rPr>
        <w:fldChar w:fldCharType="begin"/>
      </w:r>
      <w:r w:rsidR="009D7271" w:rsidRPr="00F9213D">
        <w:rPr>
          <w:rFonts w:ascii="Times New Roman" w:eastAsia="Times New Roman" w:hAnsi="Times New Roman" w:cs="Times New Roman"/>
        </w:rPr>
        <w:instrText xml:space="preserve"> ADDIN ZOTERO_ITEM CSL_CITATION {"citationID":"DwnoKpDl","properties":{"formattedCitation":"(Volbers et al., 2020)","plainCitation":"(Volbers et al., 2020)","noteIndex":0},"citationItems":[{"id":4193,"uris":["http://zotero.org/users/1464333/items/8ZY5UW7D"],"uri":["http://zotero.org/users/1464333/items/8ZY5UW7D"],"itemData":{"id":4193,"type":"article-journal","abstract":"Abstract\n            \n              Intracerebral hemorrhage (ICH) prognostication during the acute phase is often subjective among physicians and often affects treatment decisions. The present study explores objective imaging parameters using quantitative corticospinal tract (CST) fiber reconstruction during the acute phase of ICH and correlates these parameters with functional outcome and patient recovery. We prospectively enrolled nonsurgical spontaneous supratentorial ICH patients and obtained an MRI scan on day 5 ± 1. Q-space diffeomorphic reconstruction was performed using DSI Studio, and quantitative anisotropy (QA) was calculated. The CST was reconstructed based on QA. The dichotomized modified Rankin Scale score on day 90 (favorable outcome = 0–2) and Barthel Index (favorable recovery = 100 on day 90 or improvement between discharge and day 90 &gt; 60%) were assessed. Thirty-three patients, median age 72 years (interquartile range (IQR) 64–83), 21 female (64%), 21 (64%) with lobar hemorrhage, median ICH volume on admission 15.0 (IQR 7.0–27.4) mL, were included. Sixteen patients (48%) had a favorable outcome and 24 (73%) had a favorable recovery. The mean number of ipsilesional reconstructed CST fiber pathways was higher in patients with favorable outcomes (153 (standard deviation (SD) 103) vs. 60 (SD 39),\n              p\n               = 0.003) and predicted outcome after adjustment (Exp(B) = 1.016 (95% CI = 1.002–1.030)). QA in the ipsilesional posterior limb of the internal capsule showed a trend towards an association with favorable outcome (Exp(B) = 1.194 (95% CI = 0.991–1.439 (adjusted))). The total (ipsilesional + contralesional) number of reconstructed fiber pathways was associated with favorable recovery (Exp(B) = 1.025 (95% CI = 1.003–1.047 (adjusted))). Quantitative tractography parameters assessed in the acute phase of ICH may represent a promising predictor of long-term outcome and recovery. This might facilitate prognostic evaluation and organization of rehabilitation.","container-title":"Translational Stroke Research","DOI":"10.1007/s12975-020-00850-9","ISSN":"1868-4483, 1868-601X","journalAbbreviation":"Transl. Stroke Res.","language":"en","source":"DOI.org (Crossref)","title":"Quantitative Corticospinal Tract Assessment in Acute Intracerebral Hemorrhage","URL":"http://link.springer.com/10.1007/s12975-020-00850-9","author":[{"family":"Volbers","given":"Bastian"},{"family":"Mennecke","given":"Angelika"},{"family":"Kästle","given":"Nicola"},{"family":"Huttner","given":"Hagen B."},{"family":"Schwab","given":"Stefan"},{"family":"Schmidt","given":"Manuel A."},{"family":"Engelhorn","given":"Tobias"},{"family":"Doerfler","given":"Arnd"}],"accessed":{"date-parts":[["2021",4,21]]},"issued":{"date-parts":[["2020",9,21]]}}}],"schema":"https://github.com/citation-style-language/schema/raw/master/csl-citation.json"} </w:instrText>
      </w:r>
      <w:r w:rsidR="009D7271" w:rsidRPr="00F9213D">
        <w:rPr>
          <w:rFonts w:ascii="Times New Roman" w:eastAsia="Times New Roman" w:hAnsi="Times New Roman" w:cs="Times New Roman"/>
        </w:rPr>
        <w:fldChar w:fldCharType="separate"/>
      </w:r>
      <w:r w:rsidR="009D7271" w:rsidRPr="00F9213D">
        <w:rPr>
          <w:rFonts w:ascii="Times New Roman" w:eastAsia="Times New Roman" w:hAnsi="Times New Roman" w:cs="Times New Roman"/>
          <w:noProof/>
        </w:rPr>
        <w:t>(Volbers et al., 2020)</w:t>
      </w:r>
      <w:r w:rsidR="009D7271" w:rsidRPr="00F9213D">
        <w:rPr>
          <w:rFonts w:ascii="Times New Roman" w:eastAsia="Times New Roman" w:hAnsi="Times New Roman" w:cs="Times New Roman"/>
        </w:rPr>
        <w:fldChar w:fldCharType="end"/>
      </w:r>
      <w:r w:rsidR="009D7271" w:rsidRPr="00F9213D">
        <w:rPr>
          <w:rFonts w:ascii="Times New Roman" w:eastAsia="Times New Roman" w:hAnsi="Times New Roman" w:cs="Times New Roman"/>
        </w:rPr>
        <w:t>. The</w:t>
      </w:r>
      <w:r w:rsidR="00353964">
        <w:rPr>
          <w:rFonts w:ascii="Times New Roman" w:eastAsia="Times New Roman" w:hAnsi="Times New Roman" w:cs="Times New Roman"/>
        </w:rPr>
        <w:t>y</w:t>
      </w:r>
      <w:r w:rsidR="009D7271" w:rsidRPr="00F9213D">
        <w:rPr>
          <w:rFonts w:ascii="Times New Roman" w:eastAsia="Times New Roman" w:hAnsi="Times New Roman" w:cs="Times New Roman"/>
        </w:rPr>
        <w:t xml:space="preserve"> found that FA did not differ between groups in any of the examined tracts. In contrast, </w:t>
      </w:r>
      <w:r w:rsidR="00353964">
        <w:rPr>
          <w:rFonts w:ascii="Times New Roman" w:eastAsia="Times New Roman" w:hAnsi="Times New Roman" w:cs="Times New Roman"/>
        </w:rPr>
        <w:t xml:space="preserve">group </w:t>
      </w:r>
      <w:r w:rsidR="009D7271" w:rsidRPr="00F9213D">
        <w:rPr>
          <w:rFonts w:ascii="Times New Roman" w:eastAsia="Times New Roman" w:hAnsi="Times New Roman" w:cs="Times New Roman"/>
        </w:rPr>
        <w:t>differences in QA</w:t>
      </w:r>
      <w:r w:rsidR="00353964">
        <w:rPr>
          <w:rFonts w:ascii="Times New Roman" w:eastAsia="Times New Roman" w:hAnsi="Times New Roman" w:cs="Times New Roman"/>
        </w:rPr>
        <w:t xml:space="preserve"> were observed. Specifically,</w:t>
      </w:r>
      <w:r w:rsidR="009D7271" w:rsidRPr="00F9213D">
        <w:rPr>
          <w:rFonts w:ascii="Times New Roman" w:eastAsia="Times New Roman" w:hAnsi="Times New Roman" w:cs="Times New Roman"/>
        </w:rPr>
        <w:t xml:space="preserve"> </w:t>
      </w:r>
      <w:r w:rsidR="00353964">
        <w:rPr>
          <w:rFonts w:ascii="Times New Roman" w:eastAsia="Times New Roman" w:hAnsi="Times New Roman" w:cs="Times New Roman"/>
        </w:rPr>
        <w:t xml:space="preserve">QA was greater in </w:t>
      </w:r>
      <w:r w:rsidR="009D7271" w:rsidRPr="00F9213D">
        <w:rPr>
          <w:rFonts w:ascii="Times New Roman" w:eastAsia="Times New Roman" w:hAnsi="Times New Roman" w:cs="Times New Roman"/>
        </w:rPr>
        <w:t xml:space="preserve">the group with favorable </w:t>
      </w:r>
      <w:r w:rsidR="001544FD" w:rsidRPr="00F9213D">
        <w:rPr>
          <w:rFonts w:ascii="Times New Roman" w:eastAsia="Times New Roman" w:hAnsi="Times New Roman" w:cs="Times New Roman"/>
        </w:rPr>
        <w:t xml:space="preserve">post-stroke </w:t>
      </w:r>
      <w:r w:rsidR="009D7271" w:rsidRPr="00F9213D">
        <w:rPr>
          <w:rFonts w:ascii="Times New Roman" w:eastAsia="Times New Roman" w:hAnsi="Times New Roman" w:cs="Times New Roman"/>
        </w:rPr>
        <w:t xml:space="preserve">outcomes </w:t>
      </w:r>
      <w:r w:rsidR="00353964">
        <w:rPr>
          <w:rFonts w:ascii="Times New Roman" w:eastAsia="Times New Roman" w:hAnsi="Times New Roman" w:cs="Times New Roman"/>
        </w:rPr>
        <w:t>compared to</w:t>
      </w:r>
      <w:r w:rsidR="009D7271" w:rsidRPr="00F9213D">
        <w:rPr>
          <w:rFonts w:ascii="Times New Roman" w:eastAsia="Times New Roman" w:hAnsi="Times New Roman" w:cs="Times New Roman"/>
        </w:rPr>
        <w:t xml:space="preserve"> the group with poor outcomes </w:t>
      </w:r>
      <w:r w:rsidR="009D7271" w:rsidRPr="00F9213D">
        <w:rPr>
          <w:rFonts w:ascii="Times New Roman" w:eastAsia="Times New Roman" w:hAnsi="Times New Roman" w:cs="Times New Roman"/>
        </w:rPr>
        <w:fldChar w:fldCharType="begin"/>
      </w:r>
      <w:r w:rsidR="009D7271" w:rsidRPr="00F9213D">
        <w:rPr>
          <w:rFonts w:ascii="Times New Roman" w:eastAsia="Times New Roman" w:hAnsi="Times New Roman" w:cs="Times New Roman"/>
        </w:rPr>
        <w:instrText xml:space="preserve"> ADDIN ZOTERO_ITEM CSL_CITATION {"citationID":"htFOYqF1","properties":{"formattedCitation":"(Volbers et al., 2020)","plainCitation":"(Volbers et al., 2020)","noteIndex":0},"citationItems":[{"id":4193,"uris":["http://zotero.org/users/1464333/items/8ZY5UW7D"],"uri":["http://zotero.org/users/1464333/items/8ZY5UW7D"],"itemData":{"id":4193,"type":"article-journal","abstract":"Abstract\n            \n              Intracerebral hemorrhage (ICH) prognostication during the acute phase is often subjective among physicians and often affects treatment decisions. The present study explores objective imaging parameters using quantitative corticospinal tract (CST) fiber reconstruction during the acute phase of ICH and correlates these parameters with functional outcome and patient recovery. We prospectively enrolled nonsurgical spontaneous supratentorial ICH patients and obtained an MRI scan on day 5 ± 1. Q-space diffeomorphic reconstruction was performed using DSI Studio, and quantitative anisotropy (QA) was calculated. The CST was reconstructed based on QA. The dichotomized modified Rankin Scale score on day 90 (favorable outcome = 0–2) and Barthel Index (favorable recovery = 100 on day 90 or improvement between discharge and day 90 &gt; 60%) were assessed. Thirty-three patients, median age 72 years (interquartile range (IQR) 64–83), 21 female (64%), 21 (64%) with lobar hemorrhage, median ICH volume on admission 15.0 (IQR 7.0–27.4) mL, were included. Sixteen patients (48%) had a favorable outcome and 24 (73%) had a favorable recovery. The mean number of ipsilesional reconstructed CST fiber pathways was higher in patients with favorable outcomes (153 (standard deviation (SD) 103) vs. 60 (SD 39),\n              p\n               = 0.003) and predicted outcome after adjustment (Exp(B) = 1.016 (95% CI = 1.002–1.030)). QA in the ipsilesional posterior limb of the internal capsule showed a trend towards an association with favorable outcome (Exp(B) = 1.194 (95% CI = 0.991–1.439 (adjusted))). The total (ipsilesional + contralesional) number of reconstructed fiber pathways was associated with favorable recovery (Exp(B) = 1.025 (95% CI = 1.003–1.047 (adjusted))). Quantitative tractography parameters assessed in the acute phase of ICH may represent a promising predictor of long-term outcome and recovery. This might facilitate prognostic evaluation and organization of rehabilitation.","container-title":"Translational Stroke Research","DOI":"10.1007/s12975-020-00850-9","ISSN":"1868-4483, 1868-601X","journalAbbreviation":"Transl. Stroke Res.","language":"en","source":"DOI.org (Crossref)","title":"Quantitative Corticospinal Tract Assessment in Acute Intracerebral Hemorrhage","URL":"http://link.springer.com/10.1007/s12975-020-00850-9","author":[{"family":"Volbers","given":"Bastian"},{"family":"Mennecke","given":"Angelika"},{"family":"Kästle","given":"Nicola"},{"family":"Huttner","given":"Hagen B."},{"family":"Schwab","given":"Stefan"},{"family":"Schmidt","given":"Manuel A."},{"family":"Engelhorn","given":"Tobias"},{"family":"Doerfler","given":"Arnd"}],"accessed":{"date-parts":[["2021",4,21]]},"issued":{"date-parts":[["2020",9,21]]}}}],"schema":"https://github.com/citation-style-language/schema/raw/master/csl-citation.json"} </w:instrText>
      </w:r>
      <w:r w:rsidR="009D7271" w:rsidRPr="00F9213D">
        <w:rPr>
          <w:rFonts w:ascii="Times New Roman" w:eastAsia="Times New Roman" w:hAnsi="Times New Roman" w:cs="Times New Roman"/>
        </w:rPr>
        <w:fldChar w:fldCharType="separate"/>
      </w:r>
      <w:r w:rsidR="009D7271" w:rsidRPr="00F9213D">
        <w:rPr>
          <w:rFonts w:ascii="Times New Roman" w:eastAsia="Times New Roman" w:hAnsi="Times New Roman" w:cs="Times New Roman"/>
          <w:noProof/>
        </w:rPr>
        <w:t>(Volbers et al., 2020)</w:t>
      </w:r>
      <w:r w:rsidR="009D7271" w:rsidRPr="00F9213D">
        <w:rPr>
          <w:rFonts w:ascii="Times New Roman" w:eastAsia="Times New Roman" w:hAnsi="Times New Roman" w:cs="Times New Roman"/>
        </w:rPr>
        <w:fldChar w:fldCharType="end"/>
      </w:r>
      <w:r w:rsidR="009D7271" w:rsidRPr="00F9213D">
        <w:rPr>
          <w:rFonts w:ascii="Times New Roman" w:eastAsia="Times New Roman" w:hAnsi="Times New Roman" w:cs="Times New Roman"/>
        </w:rPr>
        <w:t>.</w:t>
      </w:r>
      <w:r w:rsidR="001544FD" w:rsidRPr="00F9213D">
        <w:rPr>
          <w:rFonts w:ascii="Times New Roman" w:eastAsia="Times New Roman" w:hAnsi="Times New Roman" w:cs="Times New Roman"/>
        </w:rPr>
        <w:t xml:space="preserve"> </w:t>
      </w:r>
      <w:r w:rsidR="00372B5C" w:rsidRPr="00F9213D">
        <w:rPr>
          <w:rFonts w:ascii="Times New Roman" w:eastAsia="Times New Roman" w:hAnsi="Times New Roman" w:cs="Times New Roman"/>
        </w:rPr>
        <w:t>Further</w:t>
      </w:r>
      <w:r w:rsidR="00A0373C" w:rsidRPr="00F9213D">
        <w:rPr>
          <w:rFonts w:ascii="Times New Roman" w:eastAsia="Times New Roman" w:hAnsi="Times New Roman" w:cs="Times New Roman"/>
        </w:rPr>
        <w:t>, prior work suggests that between 60-90% of white matter voxels contain more than one fiber orientation</w:t>
      </w:r>
      <w:r w:rsidR="00DC1DE1" w:rsidRPr="00F9213D">
        <w:rPr>
          <w:rFonts w:ascii="Times New Roman" w:eastAsia="Times New Roman" w:hAnsi="Times New Roman" w:cs="Times New Roman"/>
        </w:rPr>
        <w:t xml:space="preserve"> (i.e., crossing fibers)</w:t>
      </w:r>
      <w:r w:rsidR="009D7271" w:rsidRPr="00F9213D">
        <w:rPr>
          <w:rFonts w:ascii="Times New Roman" w:eastAsia="Times New Roman" w:hAnsi="Times New Roman" w:cs="Times New Roman"/>
        </w:rPr>
        <w:t xml:space="preserve"> </w:t>
      </w:r>
      <w:r w:rsidR="009D7271" w:rsidRPr="00F9213D">
        <w:rPr>
          <w:rFonts w:ascii="Times New Roman" w:eastAsia="Times New Roman" w:hAnsi="Times New Roman" w:cs="Times New Roman"/>
        </w:rPr>
        <w:fldChar w:fldCharType="begin"/>
      </w:r>
      <w:r w:rsidR="009D7271" w:rsidRPr="00F9213D">
        <w:rPr>
          <w:rFonts w:ascii="Times New Roman" w:eastAsia="Times New Roman" w:hAnsi="Times New Roman" w:cs="Times New Roman"/>
        </w:rPr>
        <w:instrText xml:space="preserve"> ADDIN ZOTERO_ITEM CSL_CITATION {"citationID":"zh8bZdls","properties":{"formattedCitation":"(Jeurissen et al., 2013; Yeh et al., 2018)","plainCitation":"(Jeurissen et al., 2013; Yeh et al., 2018)","noteIndex":0},"citationItems":[{"id":4195,"uris":["http://zotero.org/users/1464333/items/VIRRPS8K"],"uri":["http://zotero.org/users/1464333/items/VIRRPS8K"],"itemData":{"id":4195,"type":"article-journal","container-title":"Human Brain Mapping","DOI":"10.1002/hbm.22099","ISSN":"10659471","issue":"11","journalAbbreviation":"Hum. Brain Mapp","language":"en","page":"2747-2766","source":"DOI.org (Crossref)","title":"Investigating the prevalence of complex fiber configurations in white matter tissue with diffusion magnetic resonance imaging: Prevalence of Multifiber Voxels in WM","title-short":"Investigating the prevalence of complex fiber configurations in white matter tissue with diffusion magnetic resonance imaging","volume":"34","author":[{"family":"Jeurissen","given":"Ben"},{"family":"Leemans","given":"Alexander"},{"family":"Tournier","given":"Jacques-Donald"},{"family":"Jones","given":"Derek K."},{"family":"Sijbers","given":"Jan"}],"issued":{"date-parts":[["2013",11]]}}},{"id":4197,"uris":["http://zotero.org/users/1464333/items/G6PB3MQJ"],"uri":["http://zotero.org/users/1464333/items/G6PB3MQJ"],"itemData":{"id":4197,"type":"article-journal","abstract":"A comprehensive map of the structural connectome in the human brain has been a coveted resource for understanding macroscopic brain networks. Here we report an expert-vetted, population-averaged atlas of the structural connectome derived from diffusion MRI data (N = 842). This was achieved by creating a high-resolution template of diffusion patterns averaged across individual subjects and using tractography to generate 550,000 trajectories of representative white matter fascicles annotated by 80 anatomical labels. The trajectories were subsequently clustered and labeled by a team of experienced neuroanatomists in order to conform to prior neuroanatomical knowledge. A multi-level network topology was then described using whole-brain connectograms, with subdivisions of the association pathways showing small-worldness in intra-hemisphere connections, projection pathways showing hub structures at thalamus, putamen, and brainstem, and commissural pathways showing bridges connecting cerebral hemispheres to provide global efficiency. This atlas of the structural connectome provides representative organization of human brain white matter, complementary to traditional histologically-derived and voxel-based white matter atlases, allowing for better modeling and simulation of brain connectivity for future connectome studies.","container-title":"NeuroImage","DOI":"10.1016/j.neuroimage.2018.05.027","ISSN":"1095-9572","journalAbbreviation":"Neuroimage","language":"eng","note":"PMID: 29758339\nPMCID: PMC6921501","page":"57-68","source":"PubMed","title":"Population-averaged atlas of the macroscale human structural connectome and its network topology","volume":"178","author":[{"family":"Yeh","given":"Fang-Cheng"},{"family":"Panesar","given":"Sandip"},{"family":"Fernandes","given":"David"},{"family":"Meola","given":"Antonio"},{"family":"Yoshino","given":"Masanori"},{"family":"Fernandez-Miranda","given":"Juan C."},{"family":"Vettel","given":"Jean M."},{"family":"Verstynen","given":"Timothy"}],"issued":{"date-parts":[["2018",9]]}}}],"schema":"https://github.com/citation-style-language/schema/raw/master/csl-citation.json"} </w:instrText>
      </w:r>
      <w:r w:rsidR="009D7271" w:rsidRPr="00F9213D">
        <w:rPr>
          <w:rFonts w:ascii="Times New Roman" w:eastAsia="Times New Roman" w:hAnsi="Times New Roman" w:cs="Times New Roman"/>
        </w:rPr>
        <w:fldChar w:fldCharType="separate"/>
      </w:r>
      <w:r w:rsidR="009D7271" w:rsidRPr="00F9213D">
        <w:rPr>
          <w:rFonts w:ascii="Times New Roman" w:eastAsia="Times New Roman" w:hAnsi="Times New Roman" w:cs="Times New Roman"/>
          <w:noProof/>
        </w:rPr>
        <w:t>(Jeurissen et al., 2013; Yeh et al., 2018)</w:t>
      </w:r>
      <w:r w:rsidR="009D7271" w:rsidRPr="00F9213D">
        <w:rPr>
          <w:rFonts w:ascii="Times New Roman" w:eastAsia="Times New Roman" w:hAnsi="Times New Roman" w:cs="Times New Roman"/>
        </w:rPr>
        <w:fldChar w:fldCharType="end"/>
      </w:r>
      <w:r w:rsidR="00A0373C" w:rsidRPr="00F9213D">
        <w:rPr>
          <w:rFonts w:ascii="Times New Roman" w:eastAsia="Times New Roman" w:hAnsi="Times New Roman" w:cs="Times New Roman"/>
        </w:rPr>
        <w:t>. The</w:t>
      </w:r>
      <w:r w:rsidR="00372B5C" w:rsidRPr="00F9213D">
        <w:rPr>
          <w:rFonts w:ascii="Times New Roman" w:eastAsia="Times New Roman" w:hAnsi="Times New Roman" w:cs="Times New Roman"/>
        </w:rPr>
        <w:t xml:space="preserve"> problem of resolving</w:t>
      </w:r>
      <w:r w:rsidR="00A0373C" w:rsidRPr="00F9213D">
        <w:rPr>
          <w:rFonts w:ascii="Times New Roman" w:eastAsia="Times New Roman" w:hAnsi="Times New Roman" w:cs="Times New Roman"/>
        </w:rPr>
        <w:t xml:space="preserve"> crossing fibers </w:t>
      </w:r>
      <w:r w:rsidR="00372B5C" w:rsidRPr="00F9213D">
        <w:rPr>
          <w:rFonts w:ascii="Times New Roman" w:eastAsia="Times New Roman" w:hAnsi="Times New Roman" w:cs="Times New Roman"/>
        </w:rPr>
        <w:t>is</w:t>
      </w:r>
      <w:r w:rsidR="00A0373C" w:rsidRPr="00F9213D">
        <w:rPr>
          <w:rFonts w:ascii="Times New Roman" w:eastAsia="Times New Roman" w:hAnsi="Times New Roman" w:cs="Times New Roman"/>
        </w:rPr>
        <w:t xml:space="preserve"> further complicated by partial volume effects. </w:t>
      </w:r>
      <w:r w:rsidR="00353964">
        <w:rPr>
          <w:rFonts w:ascii="Times New Roman" w:eastAsia="Times New Roman" w:hAnsi="Times New Roman" w:cs="Times New Roman"/>
        </w:rPr>
        <w:t>Prior work</w:t>
      </w:r>
      <w:r w:rsidR="00A0373C" w:rsidRPr="00F9213D">
        <w:rPr>
          <w:rFonts w:ascii="Times New Roman" w:eastAsia="Times New Roman" w:hAnsi="Times New Roman" w:cs="Times New Roman"/>
        </w:rPr>
        <w:t xml:space="preserve"> </w:t>
      </w:r>
      <w:r w:rsidR="00353964">
        <w:rPr>
          <w:rFonts w:ascii="Times New Roman" w:eastAsia="Times New Roman" w:hAnsi="Times New Roman" w:cs="Times New Roman"/>
        </w:rPr>
        <w:t>has</w:t>
      </w:r>
      <w:r w:rsidR="00353964" w:rsidRPr="00F9213D">
        <w:rPr>
          <w:rFonts w:ascii="Times New Roman" w:eastAsia="Times New Roman" w:hAnsi="Times New Roman" w:cs="Times New Roman"/>
        </w:rPr>
        <w:t xml:space="preserve"> </w:t>
      </w:r>
      <w:r w:rsidR="00353964">
        <w:rPr>
          <w:rFonts w:ascii="Times New Roman" w:eastAsia="Times New Roman" w:hAnsi="Times New Roman" w:cs="Times New Roman"/>
        </w:rPr>
        <w:t>noted that</w:t>
      </w:r>
      <w:r w:rsidR="00A0373C" w:rsidRPr="00F9213D">
        <w:rPr>
          <w:rFonts w:ascii="Times New Roman" w:eastAsia="Times New Roman" w:hAnsi="Times New Roman" w:cs="Times New Roman"/>
        </w:rPr>
        <w:t xml:space="preserve"> voxel-based metrics, such as </w:t>
      </w:r>
      <w:r w:rsidR="00DC1DE1" w:rsidRPr="00F9213D">
        <w:rPr>
          <w:rFonts w:ascii="Times New Roman" w:eastAsia="Times New Roman" w:hAnsi="Times New Roman" w:cs="Times New Roman"/>
        </w:rPr>
        <w:t xml:space="preserve">FA and </w:t>
      </w:r>
      <w:r w:rsidR="00A0373C" w:rsidRPr="00F9213D">
        <w:rPr>
          <w:rFonts w:ascii="Times New Roman" w:eastAsia="Times New Roman" w:hAnsi="Times New Roman" w:cs="Times New Roman"/>
        </w:rPr>
        <w:t>GFA, are quite susceptible to these effects</w:t>
      </w:r>
      <w:r w:rsidR="00734984">
        <w:rPr>
          <w:rFonts w:ascii="Times New Roman" w:eastAsia="Times New Roman" w:hAnsi="Times New Roman" w:cs="Times New Roman"/>
        </w:rPr>
        <w:t xml:space="preserve"> </w:t>
      </w:r>
      <w:r w:rsidR="00734984" w:rsidRPr="00F9213D">
        <w:rPr>
          <w:rFonts w:ascii="Times New Roman" w:eastAsia="Times New Roman" w:hAnsi="Times New Roman" w:cs="Times New Roman"/>
        </w:rPr>
        <w:fldChar w:fldCharType="begin"/>
      </w:r>
      <w:r w:rsidR="00734984" w:rsidRPr="00F9213D">
        <w:rPr>
          <w:rFonts w:ascii="Times New Roman" w:eastAsia="Times New Roman" w:hAnsi="Times New Roman" w:cs="Times New Roman"/>
        </w:rPr>
        <w:instrText xml:space="preserve"> ADDIN ZOTERO_ITEM CSL_CITATION {"citationID":"qlZdwUAo","properties":{"formattedCitation":"(Jeurissen et al., 2013; Yeh et al., 2018)","plainCitation":"(Jeurissen et al., 2013; Yeh et al., 2018)","noteIndex":0},"citationItems":[{"id":4195,"uris":["http://zotero.org/users/1464333/items/VIRRPS8K"],"uri":["http://zotero.org/users/1464333/items/VIRRPS8K"],"itemData":{"id":4195,"type":"article-journal","container-title":"Human Brain Mapping","DOI":"10.1002/hbm.22099","ISSN":"10659471","issue":"11","journalAbbreviation":"Hum. Brain Mapp","language":"en","page":"2747-2766","source":"DOI.org (Crossref)","title":"Investigating the prevalence of complex fiber configurations in white matter tissue with diffusion magnetic resonance imaging: Prevalence of Multifiber Voxels in WM","title-short":"Investigating the prevalence of complex fiber configurations in white matter tissue with diffusion magnetic resonance imaging","volume":"34","author":[{"family":"Jeurissen","given":"Ben"},{"family":"Leemans","given":"Alexander"},{"family":"Tournier","given":"Jacques-Donald"},{"family":"Jones","given":"Derek K."},{"family":"Sijbers","given":"Jan"}],"issued":{"date-parts":[["2013",11]]}}},{"id":4197,"uris":["http://zotero.org/users/1464333/items/G6PB3MQJ"],"uri":["http://zotero.org/users/1464333/items/G6PB3MQJ"],"itemData":{"id":4197,"type":"article-journal","abstract":"A comprehensive map of the structural connectome in the human brain has been a coveted resource for understanding macroscopic brain networks. Here we report an expert-vetted, population-averaged atlas of the structural connectome derived from diffusion MRI data (N = 842). This was achieved by creating a high-resolution template of diffusion patterns averaged across individual subjects and using tractography to generate 550,000 trajectories of representative white matter fascicles annotated by 80 anatomical labels. The trajectories were subsequently clustered and labeled by a team of experienced neuroanatomists in order to conform to prior neuroanatomical knowledge. A multi-level network topology was then described using whole-brain connectograms, with subdivisions of the association pathways showing small-worldness in intra-hemisphere connections, projection pathways showing hub structures at thalamus, putamen, and brainstem, and commissural pathways showing bridges connecting cerebral hemispheres to provide global efficiency. This atlas of the structural connectome provides representative organization of human brain white matter, complementary to traditional histologically-derived and voxel-based white matter atlases, allowing for better modeling and simulation of brain connectivity for future connectome studies.","container-title":"NeuroImage","DOI":"10.1016/j.neuroimage.2018.05.027","ISSN":"1095-9572","journalAbbreviation":"Neuroimage","language":"eng","note":"PMID: 29758339\nPMCID: PMC6921501","page":"57-68","source":"PubMed","title":"Population-averaged atlas of the macroscale human structural connectome and its network topology","volume":"178","author":[{"family":"Yeh","given":"Fang-Cheng"},{"family":"Panesar","given":"Sandip"},{"family":"Fernandes","given":"David"},{"family":"Meola","given":"Antonio"},{"family":"Yoshino","given":"Masanori"},{"family":"Fernandez-Miranda","given":"Juan C."},{"family":"Vettel","given":"Jean M."},{"family":"Verstynen","given":"Timothy"}],"issued":{"date-parts":[["2018",9]]}}}],"schema":"https://github.com/citation-style-language/schema/raw/master/csl-citation.json"} </w:instrText>
      </w:r>
      <w:r w:rsidR="00734984" w:rsidRPr="00F9213D">
        <w:rPr>
          <w:rFonts w:ascii="Times New Roman" w:eastAsia="Times New Roman" w:hAnsi="Times New Roman" w:cs="Times New Roman"/>
        </w:rPr>
        <w:fldChar w:fldCharType="separate"/>
      </w:r>
      <w:r w:rsidR="00734984" w:rsidRPr="00F9213D">
        <w:rPr>
          <w:rFonts w:ascii="Times New Roman" w:eastAsia="Times New Roman" w:hAnsi="Times New Roman" w:cs="Times New Roman"/>
          <w:noProof/>
        </w:rPr>
        <w:t>(Jeurissen et al., 2013; Yeh et al., 2018)</w:t>
      </w:r>
      <w:r w:rsidR="00734984" w:rsidRPr="00F9213D">
        <w:rPr>
          <w:rFonts w:ascii="Times New Roman" w:eastAsia="Times New Roman" w:hAnsi="Times New Roman" w:cs="Times New Roman"/>
        </w:rPr>
        <w:fldChar w:fldCharType="end"/>
      </w:r>
      <w:r w:rsidR="00A0373C" w:rsidRPr="00F9213D">
        <w:rPr>
          <w:rFonts w:ascii="Times New Roman" w:eastAsia="Times New Roman" w:hAnsi="Times New Roman" w:cs="Times New Roman"/>
        </w:rPr>
        <w:t>. In fact, several prior investigations using FA have reported results in the opposite direction from what was hypothesized. For example, in a study of reaction time and FA, one group found a positive relationship between reaction time and FA. This finding is the opposite of what would be expected according to the myelination hypothesis, which suggests that increased myelination (i.e., increased FA) would be associated with faster conduction and decreased reaction time</w:t>
      </w:r>
      <w:r w:rsidR="009D7271" w:rsidRPr="00F9213D">
        <w:rPr>
          <w:rFonts w:ascii="Times New Roman" w:eastAsia="Times New Roman" w:hAnsi="Times New Roman" w:cs="Times New Roman"/>
        </w:rPr>
        <w:t xml:space="preserve"> </w:t>
      </w:r>
      <w:r w:rsidR="009D7271" w:rsidRPr="00F9213D">
        <w:rPr>
          <w:rFonts w:ascii="Times New Roman" w:eastAsia="Times New Roman" w:hAnsi="Times New Roman" w:cs="Times New Roman"/>
        </w:rPr>
        <w:fldChar w:fldCharType="begin"/>
      </w:r>
      <w:r w:rsidR="009D7271" w:rsidRPr="00F9213D">
        <w:rPr>
          <w:rFonts w:ascii="Times New Roman" w:eastAsia="Times New Roman" w:hAnsi="Times New Roman" w:cs="Times New Roman"/>
        </w:rPr>
        <w:instrText xml:space="preserve"> ADDIN ZOTERO_ITEM CSL_CITATION {"citationID":"GXuEnTGg","properties":{"formattedCitation":"(Tuch et al., 2005)","plainCitation":"(Tuch et al., 2005)","noteIndex":0},"citationItems":[{"id":4200,"uris":["http://zotero.org/users/1464333/items/PH7WBIMN"],"uri":["http://zotero.org/users/1464333/items/PH7WBIMN"],"itemData":{"id":4200,"type":"article-journal","abstract":"Humans exhibit significant interindividual variability in behavioral reaction time (RT) performance yet the underlying neural mechanisms for this variability remain largely unknown. It has been proposed that interindividual variability in RT performance may be due to differences in white matter (WM) physiological properties, although such a relationship has never been demonstrated in cortical projection or association pathways in healthy young adults. Using diffusion tensor MRI (DTI), we sought to test whether diffusion tensor fractional anisotropy (FA), a measure of the orientational coherence of water self-diffusion, is regionally correlated with RT on a visual self-paced choice RT (CRT) task. CRT was found to be significantly correlated with FA in projection and association pathways supporting visuospatial attention including the right optic radiation, right posterior thalamus, and right medial precuneus WM. Significant correlations were also observed in left superior temporal sulcus WM and the left parietal operculum. The lateralization of the CRT-FA correlation to right visual and parietal WM pathways is consistent with the specialization of right visual and parietal cortices for visuospatial attention. The localization of the CRT-FA correlations to predominantly visual and parietal WM pathways, but not to motor pathways or the corpus callosum indicates that individual differences in visual CRT performance are associated with variations in the WM underlying the visuospatial attention network as opposed to pathways supporting motor movement or interhemispheric transmission.","container-title":"Proceedings of the National Academy of Sciences of the United States of America","DOI":"10.1073/pnas.0407259102","ISSN":"0027-8424","issue":"34","journalAbbreviation":"Proc Natl Acad Sci U S A","language":"eng","note":"PMID: 16103359\nPMCID: PMC1189298","page":"12212-12217","source":"PubMed","title":"Choice reaction time performance correlates with diffusion anisotropy in white matter pathways supporting visuospatial attention","volume":"102","author":[{"family":"Tuch","given":"David S."},{"family":"Salat","given":"David H."},{"family":"Wisco","given":"Jonathan J."},{"family":"Zaleta","given":"Alexandra K."},{"family":"Hevelone","given":"Nathanael D."},{"family":"Rosas","given":"H. Diana"}],"issued":{"date-parts":[["2005",8,23]]}}}],"schema":"https://github.com/citation-style-language/schema/raw/master/csl-citation.json"} </w:instrText>
      </w:r>
      <w:r w:rsidR="009D7271" w:rsidRPr="00F9213D">
        <w:rPr>
          <w:rFonts w:ascii="Times New Roman" w:eastAsia="Times New Roman" w:hAnsi="Times New Roman" w:cs="Times New Roman"/>
        </w:rPr>
        <w:fldChar w:fldCharType="separate"/>
      </w:r>
      <w:r w:rsidR="009D7271" w:rsidRPr="00F9213D">
        <w:rPr>
          <w:rFonts w:ascii="Times New Roman" w:eastAsia="Times New Roman" w:hAnsi="Times New Roman" w:cs="Times New Roman"/>
          <w:noProof/>
        </w:rPr>
        <w:t>(Tuch et al., 2005)</w:t>
      </w:r>
      <w:r w:rsidR="009D7271" w:rsidRPr="00F9213D">
        <w:rPr>
          <w:rFonts w:ascii="Times New Roman" w:eastAsia="Times New Roman" w:hAnsi="Times New Roman" w:cs="Times New Roman"/>
        </w:rPr>
        <w:fldChar w:fldCharType="end"/>
      </w:r>
      <w:r w:rsidR="00A0373C" w:rsidRPr="00F9213D">
        <w:rPr>
          <w:rFonts w:ascii="Times New Roman" w:eastAsia="Times New Roman" w:hAnsi="Times New Roman" w:cs="Times New Roman"/>
        </w:rPr>
        <w:t xml:space="preserve">. </w:t>
      </w:r>
      <w:r w:rsidR="00DC1DE1" w:rsidRPr="00F9213D">
        <w:rPr>
          <w:rFonts w:ascii="Times New Roman" w:eastAsia="Times New Roman" w:hAnsi="Times New Roman" w:cs="Times New Roman"/>
        </w:rPr>
        <w:t xml:space="preserve">Further, other </w:t>
      </w:r>
      <w:r w:rsidR="00353964">
        <w:rPr>
          <w:rFonts w:ascii="Times New Roman" w:eastAsia="Times New Roman" w:hAnsi="Times New Roman" w:cs="Times New Roman"/>
        </w:rPr>
        <w:t>work has</w:t>
      </w:r>
      <w:r w:rsidR="00353964" w:rsidRPr="00F9213D">
        <w:rPr>
          <w:rFonts w:ascii="Times New Roman" w:eastAsia="Times New Roman" w:hAnsi="Times New Roman" w:cs="Times New Roman"/>
        </w:rPr>
        <w:t xml:space="preserve"> </w:t>
      </w:r>
      <w:r w:rsidR="00DC1DE1" w:rsidRPr="00F9213D">
        <w:rPr>
          <w:rFonts w:ascii="Times New Roman" w:eastAsia="Times New Roman" w:hAnsi="Times New Roman" w:cs="Times New Roman"/>
        </w:rPr>
        <w:t xml:space="preserve">found </w:t>
      </w:r>
      <w:r w:rsidR="00DC1DE1" w:rsidRPr="00093561">
        <w:rPr>
          <w:rFonts w:ascii="Times New Roman" w:eastAsia="Times New Roman" w:hAnsi="Times New Roman" w:cs="Times New Roman"/>
        </w:rPr>
        <w:t>increased</w:t>
      </w:r>
      <w:r w:rsidR="00DC1DE1" w:rsidRPr="00353964">
        <w:rPr>
          <w:rFonts w:ascii="Times New Roman" w:eastAsia="Times New Roman" w:hAnsi="Times New Roman" w:cs="Times New Roman"/>
        </w:rPr>
        <w:t xml:space="preserve"> </w:t>
      </w:r>
      <w:r w:rsidR="00DC1DE1" w:rsidRPr="00F9213D">
        <w:rPr>
          <w:rFonts w:ascii="Times New Roman" w:eastAsia="Times New Roman" w:hAnsi="Times New Roman" w:cs="Times New Roman"/>
        </w:rPr>
        <w:t xml:space="preserve">FA in the centrum </w:t>
      </w:r>
      <w:proofErr w:type="spellStart"/>
      <w:r w:rsidR="00DC1DE1" w:rsidRPr="00F9213D">
        <w:rPr>
          <w:rFonts w:ascii="Times New Roman" w:eastAsia="Times New Roman" w:hAnsi="Times New Roman" w:cs="Times New Roman"/>
        </w:rPr>
        <w:t>semiovale</w:t>
      </w:r>
      <w:proofErr w:type="spellEnd"/>
      <w:r w:rsidR="00DC1DE1" w:rsidRPr="00F9213D">
        <w:rPr>
          <w:rFonts w:ascii="Times New Roman" w:eastAsia="Times New Roman" w:hAnsi="Times New Roman" w:cs="Times New Roman"/>
        </w:rPr>
        <w:t xml:space="preserve"> in patients with Alzheimer’s Disease</w:t>
      </w:r>
      <w:r w:rsidR="00674C44" w:rsidRPr="00F9213D">
        <w:rPr>
          <w:rFonts w:ascii="Times New Roman" w:eastAsia="Times New Roman" w:hAnsi="Times New Roman" w:cs="Times New Roman"/>
        </w:rPr>
        <w:t xml:space="preserve"> </w:t>
      </w:r>
      <w:r w:rsidR="00674C44" w:rsidRPr="00F9213D">
        <w:rPr>
          <w:rFonts w:ascii="Times New Roman" w:eastAsia="Times New Roman" w:hAnsi="Times New Roman" w:cs="Times New Roman"/>
        </w:rPr>
        <w:fldChar w:fldCharType="begin"/>
      </w:r>
      <w:r w:rsidR="00674C44" w:rsidRPr="00F9213D">
        <w:rPr>
          <w:rFonts w:ascii="Times New Roman" w:eastAsia="Times New Roman" w:hAnsi="Times New Roman" w:cs="Times New Roman"/>
        </w:rPr>
        <w:instrText xml:space="preserve"> ADDIN ZOTERO_ITEM CSL_CITATION {"citationID":"Oeeyfz0K","properties":{"formattedCitation":"(Douaud et al., 2011)","plainCitation":"(Douaud et al., 2011)","noteIndex":0},"citationItems":[{"id":4203,"uris":["http://zotero.org/users/1464333/items/WJF5E3HM"],"uri":["http://zotero.org/users/1464333/items/WJF5E3HM"],"itemData":{"id":4203,"type":"article-journal","abstract":"Though mild cognitive impairment is an intermediate clinical state between healthy aging and Alzheimer's disease (AD), there are very few whole-brain voxel-wise diffusion MRI studies directly comparing changes in healthy control, mild cognitive impairment (MCI) and AD subjects. Here we report whole-brain findings from a comprehensive study of diffusion tensor indices and probabilistic tractography obtained in a very large population of healthy controls, MCI and probable AD subjects. As expected from the literature, all diffusion indices converged to show that the cingulum bundle, the uncinate fasciculus, the entire corpus callosum and the superior longitudinal fasciculus are the most affected white matter tracts in AD. Significant differences between MCI and AD were essentially confined to the corpus callosum. More importantly, we introduce for the first time in a degenerative disorder an application of a recently developed tensor index, the \"mode\" of anisotropy, as well as probabilistic crossing-fibre tractography. The mode of anisotropy specifies the type of anisotropy as a continuous measure reflecting differences in shape of the diffusion tensor ranging from planar (e.g., in regions of crossing fibres from two fibre populations of similar density or regions of \"kissing\" fibres) to linear (e.g., in regions where one fibre population orientation predominates), while probabilistic crossing-fibre tractography allows to accurately trace pathways from a crossing-fibre region. Remarkably, when looking for whole-brain diffusion differences between MCI patients and healthy subjects, the only region with significant abnormalities was a region of crossing fibres in the centrum semiovale, showing an increased mode of anisotropy. The only white matter region demonstrating a significant difference in correlations between neuropsychological scores and a diffusion measure (mode of anisotropy) across the three groups was the same region of crossing fibres. Further examination using probabilistic tractography established explicitly and quantitatively that this previously unreported increase of mode and co-localised increase of fractional anisotropy was explained by a relative preservation of motor-related projection fibres (at this early stage of the disease) crossing the association fibres of the superior longitudinal fasciculus. These findings emphasise the benefit of looking at the more complex regions in which spared and affected pathways are crossing to detect very early alterations of the white matter that could not be detected in regions consisting of one fibre population only. Finally, the methods used in this study may have general applicability for other degenerative disorders and, beyond the clinical sphere, they could contribute to a better quantification and understanding of subtle effects generated by normal processes such as visuospatial attention or motor learning.","container-title":"NeuroImage","DOI":"10.1016/j.neuroimage.2010.12.008","ISSN":"1095-9572","issue":"3","journalAbbreviation":"Neuroimage","language":"eng","note":"PMID: 21182970\nPMCID: PMC7116583","page":"880-890","source":"PubMed","title":"DTI measures in crossing-fibre areas: increased diffusion anisotropy reveals early white matter alteration in MCI and mild Alzheimer's disease","title-short":"DTI measures in crossing-fibre areas","volume":"55","author":[{"family":"Douaud","given":"Gwenaëlle"},{"family":"Jbabdi","given":"Saâd"},{"family":"Behrens","given":"Timothy E. J."},{"family":"Menke","given":"Ricarda A."},{"family":"Gass","given":"Achim"},{"family":"Monsch","given":"Andreas U."},{"family":"Rao","given":"Anil"},{"family":"Whitcher","given":"Brandon"},{"family":"Kindlmann","given":"Gordon"},{"family":"Matthews","given":"Paul M."},{"family":"Smith","given":"Stephen"}],"issued":{"date-parts":[["2011",4,1]]}}}],"schema":"https://github.com/citation-style-language/schema/raw/master/csl-citation.json"} </w:instrText>
      </w:r>
      <w:r w:rsidR="00674C44" w:rsidRPr="00F9213D">
        <w:rPr>
          <w:rFonts w:ascii="Times New Roman" w:eastAsia="Times New Roman" w:hAnsi="Times New Roman" w:cs="Times New Roman"/>
        </w:rPr>
        <w:fldChar w:fldCharType="separate"/>
      </w:r>
      <w:r w:rsidR="00674C44" w:rsidRPr="00F9213D">
        <w:rPr>
          <w:rFonts w:ascii="Times New Roman" w:eastAsia="Times New Roman" w:hAnsi="Times New Roman" w:cs="Times New Roman"/>
          <w:noProof/>
        </w:rPr>
        <w:t>(Douaud et al., 2011)</w:t>
      </w:r>
      <w:r w:rsidR="00674C44" w:rsidRPr="00F9213D">
        <w:rPr>
          <w:rFonts w:ascii="Times New Roman" w:eastAsia="Times New Roman" w:hAnsi="Times New Roman" w:cs="Times New Roman"/>
        </w:rPr>
        <w:fldChar w:fldCharType="end"/>
      </w:r>
      <w:r w:rsidR="00DC1DE1" w:rsidRPr="00F9213D">
        <w:rPr>
          <w:rFonts w:ascii="Times New Roman" w:eastAsia="Times New Roman" w:hAnsi="Times New Roman" w:cs="Times New Roman"/>
        </w:rPr>
        <w:t>. The authors attribute this unusual finding</w:t>
      </w:r>
      <w:r w:rsidR="00353964">
        <w:rPr>
          <w:rFonts w:ascii="Times New Roman" w:eastAsia="Times New Roman" w:hAnsi="Times New Roman" w:cs="Times New Roman"/>
        </w:rPr>
        <w:t xml:space="preserve"> (i.e., increased FA in Alzheimer’s Disease)</w:t>
      </w:r>
      <w:r w:rsidR="00DC1DE1" w:rsidRPr="00F9213D">
        <w:rPr>
          <w:rFonts w:ascii="Times New Roman" w:eastAsia="Times New Roman" w:hAnsi="Times New Roman" w:cs="Times New Roman"/>
        </w:rPr>
        <w:t xml:space="preserve"> specifically to crossing fibers present in this </w:t>
      </w:r>
      <w:r w:rsidR="00DC1DE1" w:rsidRPr="00F9213D">
        <w:rPr>
          <w:rFonts w:ascii="Times New Roman" w:eastAsia="Times New Roman" w:hAnsi="Times New Roman" w:cs="Times New Roman"/>
        </w:rPr>
        <w:lastRenderedPageBreak/>
        <w:t xml:space="preserve">area </w:t>
      </w:r>
      <w:r w:rsidR="00674C44" w:rsidRPr="00F9213D">
        <w:rPr>
          <w:rFonts w:ascii="Times New Roman" w:eastAsia="Times New Roman" w:hAnsi="Times New Roman" w:cs="Times New Roman"/>
        </w:rPr>
        <w:fldChar w:fldCharType="begin"/>
      </w:r>
      <w:r w:rsidR="00674C44" w:rsidRPr="00F9213D">
        <w:rPr>
          <w:rFonts w:ascii="Times New Roman" w:eastAsia="Times New Roman" w:hAnsi="Times New Roman" w:cs="Times New Roman"/>
        </w:rPr>
        <w:instrText xml:space="preserve"> ADDIN ZOTERO_ITEM CSL_CITATION {"citationID":"x68TOgAk","properties":{"formattedCitation":"(Douaud et al., 2011)","plainCitation":"(Douaud et al., 2011)","noteIndex":0},"citationItems":[{"id":4203,"uris":["http://zotero.org/users/1464333/items/WJF5E3HM"],"uri":["http://zotero.org/users/1464333/items/WJF5E3HM"],"itemData":{"id":4203,"type":"article-journal","abstract":"Though mild cognitive impairment is an intermediate clinical state between healthy aging and Alzheimer's disease (AD), there are very few whole-brain voxel-wise diffusion MRI studies directly comparing changes in healthy control, mild cognitive impairment (MCI) and AD subjects. Here we report whole-brain findings from a comprehensive study of diffusion tensor indices and probabilistic tractography obtained in a very large population of healthy controls, MCI and probable AD subjects. As expected from the literature, all diffusion indices converged to show that the cingulum bundle, the uncinate fasciculus, the entire corpus callosum and the superior longitudinal fasciculus are the most affected white matter tracts in AD. Significant differences between MCI and AD were essentially confined to the corpus callosum. More importantly, we introduce for the first time in a degenerative disorder an application of a recently developed tensor index, the \"mode\" of anisotropy, as well as probabilistic crossing-fibre tractography. The mode of anisotropy specifies the type of anisotropy as a continuous measure reflecting differences in shape of the diffusion tensor ranging from planar (e.g., in regions of crossing fibres from two fibre populations of similar density or regions of \"kissing\" fibres) to linear (e.g., in regions where one fibre population orientation predominates), while probabilistic crossing-fibre tractography allows to accurately trace pathways from a crossing-fibre region. Remarkably, when looking for whole-brain diffusion differences between MCI patients and healthy subjects, the only region with significant abnormalities was a region of crossing fibres in the centrum semiovale, showing an increased mode of anisotropy. The only white matter region demonstrating a significant difference in correlations between neuropsychological scores and a diffusion measure (mode of anisotropy) across the three groups was the same region of crossing fibres. Further examination using probabilistic tractography established explicitly and quantitatively that this previously unreported increase of mode and co-localised increase of fractional anisotropy was explained by a relative preservation of motor-related projection fibres (at this early stage of the disease) crossing the association fibres of the superior longitudinal fasciculus. These findings emphasise the benefit of looking at the more complex regions in which spared and affected pathways are crossing to detect very early alterations of the white matter that could not be detected in regions consisting of one fibre population only. Finally, the methods used in this study may have general applicability for other degenerative disorders and, beyond the clinical sphere, they could contribute to a better quantification and understanding of subtle effects generated by normal processes such as visuospatial attention or motor learning.","container-title":"NeuroImage","DOI":"10.1016/j.neuroimage.2010.12.008","ISSN":"1095-9572","issue":"3","journalAbbreviation":"Neuroimage","language":"eng","note":"PMID: 21182970\nPMCID: PMC7116583","page":"880-890","source":"PubMed","title":"DTI measures in crossing-fibre areas: increased diffusion anisotropy reveals early white matter alteration in MCI and mild Alzheimer's disease","title-short":"DTI measures in crossing-fibre areas","volume":"55","author":[{"family":"Douaud","given":"Gwenaëlle"},{"family":"Jbabdi","given":"Saâd"},{"family":"Behrens","given":"Timothy E. J."},{"family":"Menke","given":"Ricarda A."},{"family":"Gass","given":"Achim"},{"family":"Monsch","given":"Andreas U."},{"family":"Rao","given":"Anil"},{"family":"Whitcher","given":"Brandon"},{"family":"Kindlmann","given":"Gordon"},{"family":"Matthews","given":"Paul M."},{"family":"Smith","given":"Stephen"}],"issued":{"date-parts":[["2011",4,1]]}}}],"schema":"https://github.com/citation-style-language/schema/raw/master/csl-citation.json"} </w:instrText>
      </w:r>
      <w:r w:rsidR="00674C44" w:rsidRPr="00F9213D">
        <w:rPr>
          <w:rFonts w:ascii="Times New Roman" w:eastAsia="Times New Roman" w:hAnsi="Times New Roman" w:cs="Times New Roman"/>
        </w:rPr>
        <w:fldChar w:fldCharType="separate"/>
      </w:r>
      <w:r w:rsidR="00674C44" w:rsidRPr="00F9213D">
        <w:rPr>
          <w:rFonts w:ascii="Times New Roman" w:eastAsia="Times New Roman" w:hAnsi="Times New Roman" w:cs="Times New Roman"/>
          <w:noProof/>
        </w:rPr>
        <w:t>(Douaud et al., 2011)</w:t>
      </w:r>
      <w:r w:rsidR="00674C44" w:rsidRPr="00F9213D">
        <w:rPr>
          <w:rFonts w:ascii="Times New Roman" w:eastAsia="Times New Roman" w:hAnsi="Times New Roman" w:cs="Times New Roman"/>
        </w:rPr>
        <w:fldChar w:fldCharType="end"/>
      </w:r>
      <w:r w:rsidR="00674C44" w:rsidRPr="00F9213D">
        <w:rPr>
          <w:rFonts w:ascii="Times New Roman" w:eastAsia="Times New Roman" w:hAnsi="Times New Roman" w:cs="Times New Roman"/>
        </w:rPr>
        <w:t xml:space="preserve">. </w:t>
      </w:r>
      <w:r w:rsidR="00A0373C" w:rsidRPr="00F9213D">
        <w:rPr>
          <w:rFonts w:ascii="Times New Roman" w:eastAsia="Times New Roman" w:hAnsi="Times New Roman" w:cs="Times New Roman"/>
        </w:rPr>
        <w:t xml:space="preserve">Similarly, the </w:t>
      </w:r>
      <w:r w:rsidR="00674C44" w:rsidRPr="00F9213D">
        <w:rPr>
          <w:rFonts w:ascii="Times New Roman" w:eastAsia="Times New Roman" w:hAnsi="Times New Roman" w:cs="Times New Roman"/>
        </w:rPr>
        <w:t xml:space="preserve">current </w:t>
      </w:r>
      <w:r w:rsidR="00A0373C" w:rsidRPr="00F9213D">
        <w:rPr>
          <w:rFonts w:ascii="Times New Roman" w:eastAsia="Times New Roman" w:hAnsi="Times New Roman" w:cs="Times New Roman"/>
        </w:rPr>
        <w:t>GFA analysis found a positive relationship between GFA of the cingulum bundle and neighborhood disadvantage, which is not the direction</w:t>
      </w:r>
      <w:r w:rsidR="000857C2">
        <w:rPr>
          <w:rFonts w:ascii="Times New Roman" w:eastAsia="Times New Roman" w:hAnsi="Times New Roman" w:cs="Times New Roman"/>
        </w:rPr>
        <w:t>al relationship one would expect</w:t>
      </w:r>
      <w:r w:rsidR="00A0373C" w:rsidRPr="00F9213D">
        <w:rPr>
          <w:rFonts w:ascii="Times New Roman" w:eastAsia="Times New Roman" w:hAnsi="Times New Roman" w:cs="Times New Roman"/>
        </w:rPr>
        <w:t>. Specifically, based on prior work</w:t>
      </w:r>
      <w:r w:rsidR="00BD0A61" w:rsidRPr="00F9213D">
        <w:rPr>
          <w:rFonts w:ascii="Times New Roman" w:eastAsia="Times New Roman" w:hAnsi="Times New Roman" w:cs="Times New Roman"/>
        </w:rPr>
        <w:t xml:space="preserve"> </w:t>
      </w:r>
      <w:r w:rsidR="00BD0A61" w:rsidRPr="00F9213D">
        <w:rPr>
          <w:rFonts w:ascii="Times New Roman" w:eastAsia="Times New Roman" w:hAnsi="Times New Roman" w:cs="Times New Roman"/>
        </w:rPr>
        <w:fldChar w:fldCharType="begin"/>
      </w:r>
      <w:r w:rsidR="00BD0A61" w:rsidRPr="00F9213D">
        <w:rPr>
          <w:rFonts w:ascii="Times New Roman" w:eastAsia="Times New Roman" w:hAnsi="Times New Roman" w:cs="Times New Roman"/>
        </w:rPr>
        <w:instrText xml:space="preserve"> ADDIN ZOTERO_ITEM CSL_CITATION {"citationID":"gjYE0HHB","properties":{"formattedCitation":"(Fields, 2008; McLaughlin et al., 2017; Perkins &amp; Graham-Bermann, 2012; Sheridan &amp; McLaughlin, 2014)","plainCitation":"(Fields, 2008; McLaughlin et al., 2017; Perkins &amp; Graham-Bermann, 2012; Sheridan &amp; McLaughlin, 2014)","noteIndex":0},"citationItems":[{"id":3581,"uris":["http://zotero.org/users/1464333/items/LV4GHXF3"],"uri":["http://zotero.org/users/1464333/items/LV4GHXF3"],"itemData":{"id":3581,"type":"article-journal","abstract":"White matter is the brain region underlying the gray matter cortex, composed of neuronal fibers coated with electrical insulation called myelin. Previously of interest in demyelinating diseases such as multiple sclerosis, myelin is attracting new interest as an unexpected contributor to a wide range of psychiatric disorders, including depression and schizophrenia. This is stimulating research into myelin involvement in normal cognitive function, learning and IQ. Myelination continues for decades in the human brain; it is modifiable by experience, and it affects information processing by regulating the velocity and synchrony of impulse conduction between distant cortical regions. Cell-culture studies have identified molecular mechanisms regulating myelination by electrical activity, and myelin also limits the critical period for learning through inhibitory proteins that suppress axon sprouting and synaptogenesis.","container-title":"Trends in Neurosciences","DOI":"10.1016/j.tins.2008.04.001","ISSN":"0166-2236","issue":"7","journalAbbreviation":"Trends Neurosci.","language":"eng","note":"PMID: 18538868\nPMCID: PMC2486416","page":"361-370","source":"PubMed","title":"White matter in learning, cognition and psychiatric disorders","volume":"31","author":[{"family":"Fields","given":"R. Douglas"}],"issued":{"date-parts":[["2008",7]]}}},{"id":3721,"uris":["http://zotero.org/users/1464333/items/IAT4UWN9"],"uri":["http://zotero.org/users/1464333/items/IAT4UWN9"],"itemData":{"id":3721,"type":"article-journal","abstract":"The human brain requires a wide variety of experiences and environmental inputs in order to develop normally. Children who are neglected by caregivers or raised in institutional environments are deprived of numerous types of species-expectant environmental experiences. In this review, we articulate a model of how the absence of cognitive stimulation and sensory, motor, linguistic, and social experiences common among children raised in deprived early environments constrains early forms of learning, producing long-term deficits in complex cognitive function and associative learning. Building on evidence from animal models, we propose that deprivation accelerates the neurodevelopmental process of synaptic pruning and limits myelination, resulting in age-specific reductions in cortical thickness and white matter integrity among children raised in deprived early environments. We review evidence linking early experiences of psychosocial deprivation to reductions in cognitive ability, associative and implicit learning, language skills, and executive functions as well as atypical patterns of cortical and white matter development-domains that should be profoundly influenced by deprivation through the learning and neural mechanisms we propose. These patterns of atypical development are difficult to explain with existing models that emphasize stress pathways and accelerated limbic system development. A learning account of how deprived early environments influence cognitive and neural development provides a complementary perspective to stress models and highlights novel pathways through which deprivation might confer risk for internalizing and externalizing psychopathology. We end by reviewing evidence for plasticity in cognitive and neural development among children raised in deprived environments following interventions that improve caregiving quality.","container-title":"Biological Psychiatry","DOI":"10.1016/j.biopsych.2017.02.1096","ISSN":"1873-2402","issue":"7","journalAbbreviation":"Biol. Psychiatry","language":"eng","note":"PMID: 28392082\nPMCID: PMC5572554","page":"462-471","source":"PubMed","title":"Neglect as a Violation of Species-Expectant Experience: Neurodevelopmental Consequences","title-short":"Neglect as a Violation of Species-Expectant Experience","volume":"82","author":[{"family":"McLaughlin","given":"K. A."},{"family":"Sheridan","given":"M. A."},{"family":"Nelson","given":"Charles A."}],"issued":{"date-parts":[["2017",10,1]]}}},{"id":3646,"uris":["http://zotero.org/users/1464333/items/AIGJ5JWK"],"uri":["http://zotero.org/users/1464333/items/AIGJ5JWK"],"itemData":{"id":3646,"type":"article-journal","abstract":"The relation between history of violence exposure and the development of academic and mental health problems is explored. Violence exposed children have an increased risk of developing school-related problems including: mental health problems, learning disabilities, language impairments, and other neurocognitive problems. These problems interact to create a complex web of deficits and disabilities where intervention access points are difficult to assess. Often mental health problems and academic problems develop in parallel. Timing of violence exposure and the developmental stage of the child during exposure complicate our understanding of the underlying mechanism. A model is presented that explores pathways linking violence exposure to aspects of school-related functioning, both academically and behaviorally. Early life stress, in the form of violence exposure, is related to neurocognitive deficits, including executive functioning and problems in self-regulation. Deficits in self-regulation at the level of behavior, and cognitive control and executive functioning, at the level of brain processing, are related to both academic and mental health problems, suggesting a possible psychological mechanism. Biological mechanisms are also included in the model to illustrate the contribution of the stress response, neuroendocrine system response, and neuroanatomical structural and functional impairments associated with violence exposure.","container-title":"Aggression and Violent Behavior","DOI":"10.1016/j.avb.2011.10.001","ISSN":"1359-1789","issue":"1","journalAbbreviation":"Aggress Violent Behav","language":"eng","note":"PMID: 22837647\nPMCID: PMC3402358","page":"89-98","source":"PubMed","title":"Violence Exposure and the Development of School-Related Functioning: Mental Health, Neurocognition, and Learning","title-short":"Violence Exposure and the Development of School-Related Functioning","volume":"17","author":[{"family":"Perkins","given":"Suzanne"},{"family":"Graham-Bermann","given":"Sandra"}],"issued":{"date-parts":[["2012",1]]}}},{"id":3671,"uris":["http://zotero.org/users/1464333/items/IGE8ESJU"],"uri":["http://zotero.org/users/1464333/items/IGE8ESJU"],"itemData":{"id":3671,"type":"article-journal","abstract":"Over the past decade, a growing area of research has focused on adverse childhood experiences (ACEs) and their impacts on neural and developmental outcomes. Work in the field to-date has generally conceptualized ACEs in terms of exposure to stress while overlooking the underlying dimensions of environmental experience that may distinctly impact neural development. Here, we propose a novel framework that differentiates between deprivation (absence of expected cognitive and social input) and threat (presence of a threat to one's physical integrity). We draw support for the neural basis of this distinction from studies on fear learning and sensory deprivation in animals to highlight potential mechanisms through which experiences of threat and deprivation could affect neural structure and function in humans.","container-title":"Trends in Cognitive Sciences","DOI":"10.1016/j.tics.2014.09.001","ISSN":"1879-307X","issue":"11","journalAbbreviation":"Trends Cogn. Sci. (Regul. Ed.)","language":"eng","note":"PMID: 25305194\nPMCID: PMC4252647","page":"580-585","source":"PubMed","title":"Dimensions of early experience and neural development: deprivation and threat","title-short":"Dimensions of early experience and neural development","volume":"18","author":[{"family":"Sheridan","given":"M. A."},{"family":"McLaughlin","given":"K. A."}],"issued":{"date-parts":[["2014",11]]}}}],"schema":"https://github.com/citation-style-language/schema/raw/master/csl-citation.json"} </w:instrText>
      </w:r>
      <w:r w:rsidR="00BD0A61" w:rsidRPr="00F9213D">
        <w:rPr>
          <w:rFonts w:ascii="Times New Roman" w:eastAsia="Times New Roman" w:hAnsi="Times New Roman" w:cs="Times New Roman"/>
        </w:rPr>
        <w:fldChar w:fldCharType="separate"/>
      </w:r>
      <w:r w:rsidR="00BD0A61" w:rsidRPr="00F9213D">
        <w:rPr>
          <w:rFonts w:ascii="Times New Roman" w:eastAsia="Times New Roman" w:hAnsi="Times New Roman" w:cs="Times New Roman"/>
          <w:noProof/>
        </w:rPr>
        <w:t>(Fields, 2008; McLaughlin et al., 2017; Perkins &amp; Graham-Bermann, 2012; Sheridan &amp; McLaughlin, 2014)</w:t>
      </w:r>
      <w:r w:rsidR="00BD0A61" w:rsidRPr="00F9213D">
        <w:rPr>
          <w:rFonts w:ascii="Times New Roman" w:eastAsia="Times New Roman" w:hAnsi="Times New Roman" w:cs="Times New Roman"/>
        </w:rPr>
        <w:fldChar w:fldCharType="end"/>
      </w:r>
      <w:r w:rsidR="00A0373C" w:rsidRPr="00F9213D">
        <w:rPr>
          <w:rFonts w:ascii="Times New Roman" w:eastAsia="Times New Roman" w:hAnsi="Times New Roman" w:cs="Times New Roman"/>
        </w:rPr>
        <w:t xml:space="preserve">, we hypothesized that neighborhood disadvantage would be linked with decreased GFA. Taken together with prior work, the present GFA analysis suggests that in this instance QA may be the more appropriate metric, as it is less impacted by crossing fibers and partial volume effects. </w:t>
      </w:r>
      <w:r w:rsidR="00BD0A61" w:rsidRPr="00F9213D">
        <w:rPr>
          <w:rFonts w:ascii="Times New Roman" w:hAnsi="Times New Roman" w:cs="Times New Roman"/>
          <w:b/>
          <w:bCs/>
        </w:rPr>
        <w:br w:type="page"/>
      </w:r>
    </w:p>
    <w:p w14:paraId="6935028C" w14:textId="77777777" w:rsidR="007371C5" w:rsidRDefault="007371C5">
      <w:pPr>
        <w:rPr>
          <w:rFonts w:ascii="Times New Roman" w:hAnsi="Times New Roman" w:cs="Times New Roman"/>
          <w:b/>
          <w:bCs/>
        </w:rPr>
      </w:pPr>
    </w:p>
    <w:tbl>
      <w:tblPr>
        <w:tblStyle w:val="TableGrid"/>
        <w:tblpPr w:leftFromText="180" w:rightFromText="180" w:vertAnchor="text" w:horzAnchor="margin" w:tblpY="85"/>
        <w:tblW w:w="9644" w:type="dxa"/>
        <w:tblBorders>
          <w:top w:val="none" w:sz="0" w:space="0" w:color="auto"/>
          <w:left w:val="none" w:sz="0" w:space="0" w:color="auto"/>
          <w:bottom w:val="none" w:sz="0" w:space="0" w:color="auto"/>
          <w:right w:val="none" w:sz="0" w:space="0" w:color="auto"/>
        </w:tblBorders>
        <w:tblLayout w:type="fixed"/>
        <w:tblCellMar>
          <w:left w:w="58" w:type="dxa"/>
          <w:right w:w="58" w:type="dxa"/>
        </w:tblCellMar>
        <w:tblLook w:val="04A0" w:firstRow="1" w:lastRow="0" w:firstColumn="1" w:lastColumn="0" w:noHBand="0" w:noVBand="1"/>
      </w:tblPr>
      <w:tblGrid>
        <w:gridCol w:w="3380"/>
        <w:gridCol w:w="216"/>
        <w:gridCol w:w="1080"/>
        <w:gridCol w:w="216"/>
        <w:gridCol w:w="1080"/>
        <w:gridCol w:w="216"/>
        <w:gridCol w:w="864"/>
        <w:gridCol w:w="216"/>
        <w:gridCol w:w="1080"/>
        <w:gridCol w:w="216"/>
        <w:gridCol w:w="1066"/>
        <w:gridCol w:w="14"/>
      </w:tblGrid>
      <w:tr w:rsidR="007371C5" w:rsidRPr="00C2676B" w14:paraId="22AD99ED" w14:textId="77777777" w:rsidTr="00356AA0">
        <w:trPr>
          <w:gridAfter w:val="1"/>
          <w:wAfter w:w="14" w:type="dxa"/>
        </w:trPr>
        <w:tc>
          <w:tcPr>
            <w:tcW w:w="9630" w:type="dxa"/>
            <w:gridSpan w:val="11"/>
            <w:tcBorders>
              <w:bottom w:val="single" w:sz="4" w:space="0" w:color="auto"/>
            </w:tcBorders>
            <w:tcMar>
              <w:left w:w="58" w:type="dxa"/>
              <w:right w:w="58" w:type="dxa"/>
            </w:tcMar>
          </w:tcPr>
          <w:p w14:paraId="67A43C63" w14:textId="77777777" w:rsidR="007371C5" w:rsidRPr="00C2676B" w:rsidRDefault="007371C5" w:rsidP="00356AA0">
            <w:pPr>
              <w:rPr>
                <w:rFonts w:ascii="Times New Roman" w:hAnsi="Times New Roman" w:cs="Times New Roman"/>
              </w:rPr>
            </w:pPr>
            <w:r>
              <w:rPr>
                <w:rFonts w:ascii="Times New Roman" w:hAnsi="Times New Roman" w:cs="Times New Roman"/>
              </w:rPr>
              <w:t xml:space="preserve">Supplementary </w:t>
            </w:r>
            <w:r w:rsidRPr="00C2676B">
              <w:rPr>
                <w:rFonts w:ascii="Times New Roman" w:hAnsi="Times New Roman" w:cs="Times New Roman"/>
              </w:rPr>
              <w:t xml:space="preserve">Table </w:t>
            </w:r>
            <w:r>
              <w:rPr>
                <w:rFonts w:ascii="Times New Roman" w:hAnsi="Times New Roman" w:cs="Times New Roman"/>
              </w:rPr>
              <w:t>S1</w:t>
            </w:r>
            <w:r w:rsidRPr="00C2676B">
              <w:rPr>
                <w:rFonts w:ascii="Times New Roman" w:hAnsi="Times New Roman" w:cs="Times New Roman"/>
              </w:rPr>
              <w:t>. Results of regression models predicting QA</w:t>
            </w:r>
            <w:r>
              <w:rPr>
                <w:rFonts w:ascii="Times New Roman" w:hAnsi="Times New Roman" w:cs="Times New Roman"/>
              </w:rPr>
              <w:t xml:space="preserve"> for six tracts</w:t>
            </w:r>
          </w:p>
        </w:tc>
      </w:tr>
      <w:tr w:rsidR="007371C5" w:rsidRPr="00C2676B" w14:paraId="4BFD39D6" w14:textId="77777777" w:rsidTr="00356AA0">
        <w:tc>
          <w:tcPr>
            <w:tcW w:w="3380" w:type="dxa"/>
            <w:tcBorders>
              <w:top w:val="single" w:sz="4" w:space="0" w:color="auto"/>
              <w:bottom w:val="nil"/>
              <w:right w:val="nil"/>
            </w:tcBorders>
            <w:tcMar>
              <w:left w:w="58" w:type="dxa"/>
              <w:right w:w="58" w:type="dxa"/>
            </w:tcMar>
          </w:tcPr>
          <w:p w14:paraId="78F6EB84" w14:textId="77777777" w:rsidR="007371C5" w:rsidRPr="00C2676B" w:rsidRDefault="007371C5" w:rsidP="00356AA0">
            <w:pPr>
              <w:rPr>
                <w:rFonts w:ascii="Times New Roman" w:hAnsi="Times New Roman" w:cs="Times New Roman"/>
              </w:rPr>
            </w:pPr>
          </w:p>
        </w:tc>
        <w:tc>
          <w:tcPr>
            <w:tcW w:w="216" w:type="dxa"/>
            <w:tcBorders>
              <w:top w:val="single" w:sz="4" w:space="0" w:color="auto"/>
              <w:left w:val="nil"/>
              <w:bottom w:val="nil"/>
              <w:right w:val="nil"/>
            </w:tcBorders>
            <w:tcMar>
              <w:left w:w="58" w:type="dxa"/>
              <w:right w:w="58" w:type="dxa"/>
            </w:tcMar>
          </w:tcPr>
          <w:p w14:paraId="33B61FAA" w14:textId="77777777" w:rsidR="007371C5" w:rsidRPr="00C2676B" w:rsidRDefault="007371C5" w:rsidP="00356AA0">
            <w:pPr>
              <w:rPr>
                <w:rFonts w:ascii="Times New Roman" w:hAnsi="Times New Roman" w:cs="Times New Roman"/>
              </w:rPr>
            </w:pPr>
          </w:p>
        </w:tc>
        <w:tc>
          <w:tcPr>
            <w:tcW w:w="1080" w:type="dxa"/>
            <w:tcBorders>
              <w:top w:val="single" w:sz="4" w:space="0" w:color="auto"/>
              <w:left w:val="nil"/>
              <w:bottom w:val="single" w:sz="4" w:space="0" w:color="auto"/>
              <w:right w:val="nil"/>
            </w:tcBorders>
            <w:tcMar>
              <w:left w:w="58" w:type="dxa"/>
              <w:right w:w="58" w:type="dxa"/>
            </w:tcMar>
          </w:tcPr>
          <w:p w14:paraId="6CE9883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F-statistic</w:t>
            </w:r>
          </w:p>
        </w:tc>
        <w:tc>
          <w:tcPr>
            <w:tcW w:w="216" w:type="dxa"/>
            <w:tcBorders>
              <w:top w:val="single" w:sz="4" w:space="0" w:color="auto"/>
              <w:left w:val="nil"/>
              <w:bottom w:val="nil"/>
              <w:right w:val="nil"/>
            </w:tcBorders>
            <w:tcMar>
              <w:left w:w="58" w:type="dxa"/>
              <w:right w:w="58" w:type="dxa"/>
            </w:tcMar>
          </w:tcPr>
          <w:p w14:paraId="561B5615" w14:textId="77777777" w:rsidR="007371C5" w:rsidRPr="00C2676B" w:rsidRDefault="007371C5" w:rsidP="00356AA0">
            <w:pPr>
              <w:jc w:val="center"/>
              <w:rPr>
                <w:rFonts w:ascii="Times New Roman" w:hAnsi="Times New Roman" w:cs="Times New Roman"/>
              </w:rPr>
            </w:pPr>
          </w:p>
        </w:tc>
        <w:tc>
          <w:tcPr>
            <w:tcW w:w="1080" w:type="dxa"/>
            <w:tcBorders>
              <w:top w:val="single" w:sz="4" w:space="0" w:color="auto"/>
              <w:left w:val="nil"/>
              <w:bottom w:val="single" w:sz="4" w:space="0" w:color="auto"/>
              <w:right w:val="nil"/>
            </w:tcBorders>
            <w:tcMar>
              <w:left w:w="58" w:type="dxa"/>
              <w:right w:w="58" w:type="dxa"/>
            </w:tcMar>
          </w:tcPr>
          <w:p w14:paraId="71C25524"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i/>
                <w:iCs/>
              </w:rPr>
              <w:t>p</w:t>
            </w:r>
            <w:r w:rsidRPr="00C2676B">
              <w:rPr>
                <w:rFonts w:ascii="Times New Roman" w:hAnsi="Times New Roman" w:cs="Times New Roman"/>
              </w:rPr>
              <w:t>-value</w:t>
            </w:r>
          </w:p>
        </w:tc>
        <w:tc>
          <w:tcPr>
            <w:tcW w:w="216" w:type="dxa"/>
            <w:tcBorders>
              <w:top w:val="single" w:sz="4" w:space="0" w:color="auto"/>
              <w:left w:val="nil"/>
              <w:bottom w:val="single" w:sz="4" w:space="0" w:color="auto"/>
              <w:right w:val="nil"/>
            </w:tcBorders>
            <w:tcMar>
              <w:left w:w="58" w:type="dxa"/>
              <w:right w:w="58" w:type="dxa"/>
            </w:tcMar>
          </w:tcPr>
          <w:p w14:paraId="47494D66" w14:textId="77777777" w:rsidR="007371C5" w:rsidRPr="00C2676B" w:rsidRDefault="007371C5" w:rsidP="00356AA0">
            <w:pPr>
              <w:jc w:val="center"/>
              <w:rPr>
                <w:rFonts w:ascii="Times New Roman" w:hAnsi="Times New Roman" w:cs="Times New Roman"/>
              </w:rPr>
            </w:pPr>
          </w:p>
        </w:tc>
        <w:tc>
          <w:tcPr>
            <w:tcW w:w="864" w:type="dxa"/>
            <w:tcBorders>
              <w:top w:val="single" w:sz="4" w:space="0" w:color="auto"/>
              <w:left w:val="nil"/>
              <w:bottom w:val="single" w:sz="4" w:space="0" w:color="auto"/>
              <w:right w:val="nil"/>
            </w:tcBorders>
            <w:tcMar>
              <w:left w:w="58" w:type="dxa"/>
              <w:right w:w="58" w:type="dxa"/>
            </w:tcMar>
          </w:tcPr>
          <w:p w14:paraId="622B1DB1"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β</w:t>
            </w:r>
          </w:p>
        </w:tc>
        <w:tc>
          <w:tcPr>
            <w:tcW w:w="216" w:type="dxa"/>
            <w:tcBorders>
              <w:top w:val="single" w:sz="4" w:space="0" w:color="auto"/>
              <w:left w:val="nil"/>
              <w:bottom w:val="nil"/>
              <w:right w:val="nil"/>
            </w:tcBorders>
            <w:tcMar>
              <w:left w:w="58" w:type="dxa"/>
              <w:right w:w="58" w:type="dxa"/>
            </w:tcMar>
          </w:tcPr>
          <w:p w14:paraId="2B1EEEC3" w14:textId="77777777" w:rsidR="007371C5" w:rsidRPr="00C2676B" w:rsidRDefault="007371C5" w:rsidP="00356AA0">
            <w:pPr>
              <w:jc w:val="center"/>
              <w:rPr>
                <w:rFonts w:ascii="Times New Roman" w:hAnsi="Times New Roman" w:cs="Times New Roman"/>
              </w:rPr>
            </w:pPr>
          </w:p>
        </w:tc>
        <w:tc>
          <w:tcPr>
            <w:tcW w:w="1080" w:type="dxa"/>
            <w:tcBorders>
              <w:top w:val="single" w:sz="4" w:space="0" w:color="auto"/>
              <w:left w:val="nil"/>
              <w:bottom w:val="single" w:sz="4" w:space="0" w:color="auto"/>
              <w:right w:val="nil"/>
            </w:tcBorders>
            <w:tcMar>
              <w:left w:w="58" w:type="dxa"/>
              <w:right w:w="58" w:type="dxa"/>
            </w:tcMar>
          </w:tcPr>
          <w:p w14:paraId="5CBA720D"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t-value</w:t>
            </w:r>
          </w:p>
        </w:tc>
        <w:tc>
          <w:tcPr>
            <w:tcW w:w="216" w:type="dxa"/>
            <w:tcBorders>
              <w:top w:val="single" w:sz="4" w:space="0" w:color="auto"/>
              <w:left w:val="nil"/>
              <w:bottom w:val="nil"/>
              <w:right w:val="nil"/>
            </w:tcBorders>
            <w:tcMar>
              <w:left w:w="58" w:type="dxa"/>
              <w:right w:w="58" w:type="dxa"/>
            </w:tcMar>
          </w:tcPr>
          <w:p w14:paraId="77B633F0" w14:textId="77777777" w:rsidR="007371C5" w:rsidRPr="00C2676B" w:rsidRDefault="007371C5" w:rsidP="00356AA0">
            <w:pPr>
              <w:jc w:val="center"/>
              <w:rPr>
                <w:rFonts w:ascii="Times New Roman" w:hAnsi="Times New Roman" w:cs="Times New Roman"/>
              </w:rPr>
            </w:pPr>
          </w:p>
        </w:tc>
        <w:tc>
          <w:tcPr>
            <w:tcW w:w="1080" w:type="dxa"/>
            <w:gridSpan w:val="2"/>
            <w:tcBorders>
              <w:top w:val="single" w:sz="4" w:space="0" w:color="auto"/>
              <w:left w:val="nil"/>
              <w:bottom w:val="single" w:sz="4" w:space="0" w:color="auto"/>
            </w:tcBorders>
            <w:tcMar>
              <w:left w:w="58" w:type="dxa"/>
              <w:right w:w="58" w:type="dxa"/>
            </w:tcMar>
          </w:tcPr>
          <w:p w14:paraId="23F36883"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i/>
                <w:iCs/>
              </w:rPr>
              <w:t>p</w:t>
            </w:r>
            <w:r w:rsidRPr="00C2676B">
              <w:rPr>
                <w:rFonts w:ascii="Times New Roman" w:hAnsi="Times New Roman" w:cs="Times New Roman"/>
              </w:rPr>
              <w:t>-value</w:t>
            </w:r>
          </w:p>
        </w:tc>
      </w:tr>
      <w:tr w:rsidR="007371C5" w:rsidRPr="00C2676B" w14:paraId="18BDB5EC" w14:textId="77777777" w:rsidTr="00356AA0">
        <w:tc>
          <w:tcPr>
            <w:tcW w:w="3380" w:type="dxa"/>
            <w:tcBorders>
              <w:top w:val="nil"/>
              <w:bottom w:val="single" w:sz="4" w:space="0" w:color="auto"/>
              <w:right w:val="nil"/>
            </w:tcBorders>
            <w:tcMar>
              <w:left w:w="58" w:type="dxa"/>
              <w:right w:w="58" w:type="dxa"/>
            </w:tcMar>
          </w:tcPr>
          <w:p w14:paraId="4CA0B530" w14:textId="77777777" w:rsidR="007371C5" w:rsidRPr="00C2676B" w:rsidRDefault="007371C5" w:rsidP="00356AA0">
            <w:pPr>
              <w:rPr>
                <w:rFonts w:ascii="Times New Roman" w:hAnsi="Times New Roman" w:cs="Times New Roman"/>
              </w:rPr>
            </w:pPr>
            <w:r w:rsidRPr="00C2676B">
              <w:rPr>
                <w:rFonts w:ascii="Times New Roman" w:hAnsi="Times New Roman" w:cs="Times New Roman"/>
              </w:rPr>
              <w:t>Left Cingulum Bundle (QA)</w:t>
            </w:r>
          </w:p>
        </w:tc>
        <w:tc>
          <w:tcPr>
            <w:tcW w:w="216" w:type="dxa"/>
            <w:tcBorders>
              <w:top w:val="nil"/>
              <w:left w:val="nil"/>
              <w:bottom w:val="nil"/>
              <w:right w:val="nil"/>
            </w:tcBorders>
            <w:tcMar>
              <w:left w:w="58" w:type="dxa"/>
              <w:right w:w="58" w:type="dxa"/>
            </w:tcMar>
          </w:tcPr>
          <w:p w14:paraId="4C53C23C"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44F62C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48DEE46"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3FAB5D1"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41DEA39"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0AAF3147"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E02167A"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1255489"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028DC52"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3A98F361" w14:textId="77777777" w:rsidR="007371C5" w:rsidRPr="00C2676B" w:rsidRDefault="007371C5" w:rsidP="00356AA0">
            <w:pPr>
              <w:jc w:val="center"/>
              <w:rPr>
                <w:rFonts w:ascii="Times New Roman" w:hAnsi="Times New Roman" w:cs="Times New Roman"/>
              </w:rPr>
            </w:pPr>
          </w:p>
        </w:tc>
      </w:tr>
      <w:tr w:rsidR="007371C5" w:rsidRPr="00C2676B" w14:paraId="3A0089A1" w14:textId="77777777" w:rsidTr="00356AA0">
        <w:tc>
          <w:tcPr>
            <w:tcW w:w="3380" w:type="dxa"/>
            <w:tcBorders>
              <w:top w:val="single" w:sz="4" w:space="0" w:color="auto"/>
              <w:bottom w:val="nil"/>
              <w:right w:val="nil"/>
            </w:tcBorders>
            <w:tcMar>
              <w:left w:w="58" w:type="dxa"/>
              <w:right w:w="58" w:type="dxa"/>
            </w:tcMar>
          </w:tcPr>
          <w:p w14:paraId="40F8CCE4"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Overall Model</w:t>
            </w:r>
          </w:p>
        </w:tc>
        <w:tc>
          <w:tcPr>
            <w:tcW w:w="216" w:type="dxa"/>
            <w:tcBorders>
              <w:top w:val="nil"/>
              <w:left w:val="nil"/>
              <w:bottom w:val="nil"/>
              <w:right w:val="nil"/>
            </w:tcBorders>
            <w:tcMar>
              <w:left w:w="58" w:type="dxa"/>
              <w:right w:w="58" w:type="dxa"/>
            </w:tcMar>
          </w:tcPr>
          <w:p w14:paraId="23D91C79"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B261909"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23.42</w:t>
            </w:r>
          </w:p>
        </w:tc>
        <w:tc>
          <w:tcPr>
            <w:tcW w:w="216" w:type="dxa"/>
            <w:tcBorders>
              <w:top w:val="nil"/>
              <w:left w:val="nil"/>
              <w:bottom w:val="nil"/>
              <w:right w:val="nil"/>
            </w:tcBorders>
            <w:tcMar>
              <w:left w:w="58" w:type="dxa"/>
              <w:right w:w="58" w:type="dxa"/>
            </w:tcMar>
          </w:tcPr>
          <w:p w14:paraId="5F9B484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32FEB9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&lt; 0.001*</w:t>
            </w:r>
          </w:p>
        </w:tc>
        <w:tc>
          <w:tcPr>
            <w:tcW w:w="216" w:type="dxa"/>
            <w:tcBorders>
              <w:top w:val="nil"/>
              <w:left w:val="nil"/>
              <w:bottom w:val="nil"/>
              <w:right w:val="nil"/>
            </w:tcBorders>
            <w:tcMar>
              <w:left w:w="58" w:type="dxa"/>
              <w:right w:w="58" w:type="dxa"/>
            </w:tcMar>
          </w:tcPr>
          <w:p w14:paraId="406DAAA4"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4A38248D"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6DF204B"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8E6CCBE"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9495349"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3D0D158D" w14:textId="77777777" w:rsidR="007371C5" w:rsidRPr="00C2676B" w:rsidRDefault="007371C5" w:rsidP="00356AA0">
            <w:pPr>
              <w:jc w:val="center"/>
              <w:rPr>
                <w:rFonts w:ascii="Times New Roman" w:hAnsi="Times New Roman" w:cs="Times New Roman"/>
              </w:rPr>
            </w:pPr>
          </w:p>
        </w:tc>
      </w:tr>
      <w:tr w:rsidR="007371C5" w:rsidRPr="00C2676B" w14:paraId="3DF78C4F" w14:textId="77777777" w:rsidTr="00356AA0">
        <w:tc>
          <w:tcPr>
            <w:tcW w:w="3380" w:type="dxa"/>
            <w:tcBorders>
              <w:top w:val="nil"/>
              <w:bottom w:val="nil"/>
              <w:right w:val="nil"/>
            </w:tcBorders>
            <w:tcMar>
              <w:left w:w="58" w:type="dxa"/>
              <w:right w:w="58" w:type="dxa"/>
            </w:tcMar>
          </w:tcPr>
          <w:p w14:paraId="41ACC34C"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Neighborhood disadvantage</w:t>
            </w:r>
          </w:p>
        </w:tc>
        <w:tc>
          <w:tcPr>
            <w:tcW w:w="216" w:type="dxa"/>
            <w:tcBorders>
              <w:top w:val="nil"/>
              <w:left w:val="nil"/>
              <w:bottom w:val="nil"/>
              <w:right w:val="nil"/>
            </w:tcBorders>
            <w:tcMar>
              <w:left w:w="58" w:type="dxa"/>
              <w:right w:w="58" w:type="dxa"/>
            </w:tcMar>
          </w:tcPr>
          <w:p w14:paraId="1BCD2456"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27F7B609"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50F32F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323E4D6"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30E9FCF"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4315BFA3"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-0.133</w:t>
            </w:r>
          </w:p>
        </w:tc>
        <w:tc>
          <w:tcPr>
            <w:tcW w:w="216" w:type="dxa"/>
            <w:tcBorders>
              <w:top w:val="nil"/>
              <w:left w:val="nil"/>
              <w:bottom w:val="nil"/>
              <w:right w:val="nil"/>
            </w:tcBorders>
            <w:tcMar>
              <w:left w:w="58" w:type="dxa"/>
              <w:right w:w="58" w:type="dxa"/>
            </w:tcMar>
          </w:tcPr>
          <w:p w14:paraId="34659839"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88D8B8A"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-2.48</w:t>
            </w:r>
          </w:p>
        </w:tc>
        <w:tc>
          <w:tcPr>
            <w:tcW w:w="216" w:type="dxa"/>
            <w:tcBorders>
              <w:top w:val="nil"/>
              <w:left w:val="nil"/>
              <w:bottom w:val="nil"/>
              <w:right w:val="nil"/>
            </w:tcBorders>
            <w:tcMar>
              <w:left w:w="58" w:type="dxa"/>
              <w:right w:w="58" w:type="dxa"/>
            </w:tcMar>
          </w:tcPr>
          <w:p w14:paraId="292EF5E4"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099BED9E"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0.014</w:t>
            </w:r>
          </w:p>
        </w:tc>
      </w:tr>
      <w:tr w:rsidR="007371C5" w:rsidRPr="00C2676B" w14:paraId="04FE2756" w14:textId="77777777" w:rsidTr="00356AA0">
        <w:tc>
          <w:tcPr>
            <w:tcW w:w="3380" w:type="dxa"/>
            <w:tcBorders>
              <w:top w:val="nil"/>
              <w:bottom w:val="nil"/>
              <w:right w:val="nil"/>
            </w:tcBorders>
            <w:tcMar>
              <w:left w:w="58" w:type="dxa"/>
              <w:right w:w="58" w:type="dxa"/>
            </w:tcMar>
          </w:tcPr>
          <w:p w14:paraId="5CCE783B"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Violence exposure</w:t>
            </w:r>
          </w:p>
        </w:tc>
        <w:tc>
          <w:tcPr>
            <w:tcW w:w="216" w:type="dxa"/>
            <w:tcBorders>
              <w:top w:val="nil"/>
              <w:left w:val="nil"/>
              <w:bottom w:val="nil"/>
              <w:right w:val="nil"/>
            </w:tcBorders>
            <w:tcMar>
              <w:left w:w="58" w:type="dxa"/>
              <w:right w:w="58" w:type="dxa"/>
            </w:tcMar>
          </w:tcPr>
          <w:p w14:paraId="77E75ED9"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22EAEDC"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3F6E37F"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182541C"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FE17FE7"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48F49091"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-0.102</w:t>
            </w:r>
          </w:p>
        </w:tc>
        <w:tc>
          <w:tcPr>
            <w:tcW w:w="216" w:type="dxa"/>
            <w:tcBorders>
              <w:top w:val="nil"/>
              <w:left w:val="nil"/>
              <w:bottom w:val="nil"/>
              <w:right w:val="nil"/>
            </w:tcBorders>
            <w:tcMar>
              <w:left w:w="58" w:type="dxa"/>
              <w:right w:w="58" w:type="dxa"/>
            </w:tcMar>
          </w:tcPr>
          <w:p w14:paraId="695AE7B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F790810"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-1.87</w:t>
            </w:r>
          </w:p>
        </w:tc>
        <w:tc>
          <w:tcPr>
            <w:tcW w:w="216" w:type="dxa"/>
            <w:tcBorders>
              <w:top w:val="nil"/>
              <w:left w:val="nil"/>
              <w:bottom w:val="nil"/>
              <w:right w:val="nil"/>
            </w:tcBorders>
            <w:tcMar>
              <w:left w:w="58" w:type="dxa"/>
              <w:right w:w="58" w:type="dxa"/>
            </w:tcMar>
          </w:tcPr>
          <w:p w14:paraId="413735D0"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7E184AE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0.062</w:t>
            </w:r>
          </w:p>
        </w:tc>
      </w:tr>
      <w:tr w:rsidR="007371C5" w:rsidRPr="00C2676B" w14:paraId="5C0AE95D" w14:textId="77777777" w:rsidTr="00356AA0">
        <w:tc>
          <w:tcPr>
            <w:tcW w:w="3380" w:type="dxa"/>
            <w:tcBorders>
              <w:top w:val="nil"/>
              <w:bottom w:val="nil"/>
              <w:right w:val="nil"/>
            </w:tcBorders>
            <w:tcMar>
              <w:left w:w="58" w:type="dxa"/>
              <w:right w:w="58" w:type="dxa"/>
            </w:tcMar>
          </w:tcPr>
          <w:p w14:paraId="2537B056" w14:textId="77777777" w:rsidR="007371C5" w:rsidRPr="00C2676B" w:rsidRDefault="007371C5" w:rsidP="00356AA0">
            <w:pPr>
              <w:jc w:val="right"/>
              <w:rPr>
                <w:rFonts w:ascii="Times New Roman" w:hAnsi="Times New Roman" w:cs="Times New Roman"/>
              </w:rPr>
            </w:pPr>
          </w:p>
        </w:tc>
        <w:tc>
          <w:tcPr>
            <w:tcW w:w="216" w:type="dxa"/>
            <w:tcBorders>
              <w:top w:val="nil"/>
              <w:left w:val="nil"/>
              <w:bottom w:val="nil"/>
              <w:right w:val="nil"/>
            </w:tcBorders>
            <w:tcMar>
              <w:left w:w="58" w:type="dxa"/>
              <w:right w:w="58" w:type="dxa"/>
            </w:tcMar>
          </w:tcPr>
          <w:p w14:paraId="64749F84"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91887B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D1B1526"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307504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AA0CA22"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55772F4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85C8D3B"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1A2E83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1B4B499"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5C8100DC" w14:textId="77777777" w:rsidR="007371C5" w:rsidRPr="00C2676B" w:rsidRDefault="007371C5" w:rsidP="00356AA0">
            <w:pPr>
              <w:jc w:val="center"/>
              <w:rPr>
                <w:rFonts w:ascii="Times New Roman" w:hAnsi="Times New Roman" w:cs="Times New Roman"/>
              </w:rPr>
            </w:pPr>
          </w:p>
        </w:tc>
      </w:tr>
      <w:tr w:rsidR="007371C5" w:rsidRPr="00C2676B" w14:paraId="4E3E1CDF" w14:textId="77777777" w:rsidTr="00356AA0">
        <w:tc>
          <w:tcPr>
            <w:tcW w:w="3380" w:type="dxa"/>
            <w:tcBorders>
              <w:top w:val="nil"/>
              <w:bottom w:val="single" w:sz="4" w:space="0" w:color="auto"/>
              <w:right w:val="nil"/>
            </w:tcBorders>
            <w:tcMar>
              <w:left w:w="58" w:type="dxa"/>
              <w:right w:w="58" w:type="dxa"/>
            </w:tcMar>
          </w:tcPr>
          <w:p w14:paraId="29A76EC7" w14:textId="77777777" w:rsidR="007371C5" w:rsidRPr="00C2676B" w:rsidRDefault="007371C5" w:rsidP="00356AA0">
            <w:pPr>
              <w:rPr>
                <w:rFonts w:ascii="Times New Roman" w:hAnsi="Times New Roman" w:cs="Times New Roman"/>
              </w:rPr>
            </w:pPr>
            <w:r w:rsidRPr="00C2676B">
              <w:rPr>
                <w:rFonts w:ascii="Times New Roman" w:hAnsi="Times New Roman" w:cs="Times New Roman"/>
              </w:rPr>
              <w:t>Right Cingulum Bundle (QA)</w:t>
            </w:r>
          </w:p>
        </w:tc>
        <w:tc>
          <w:tcPr>
            <w:tcW w:w="216" w:type="dxa"/>
            <w:tcBorders>
              <w:top w:val="nil"/>
              <w:left w:val="nil"/>
              <w:bottom w:val="nil"/>
              <w:right w:val="nil"/>
            </w:tcBorders>
            <w:tcMar>
              <w:left w:w="58" w:type="dxa"/>
              <w:right w:w="58" w:type="dxa"/>
            </w:tcMar>
          </w:tcPr>
          <w:p w14:paraId="1751818A"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2CE35C48"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958052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0C9AE1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42764F1"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3658562E"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5EEFA60"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C0822A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F25F1D4"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3DBB1C6B" w14:textId="77777777" w:rsidR="007371C5" w:rsidRPr="00C2676B" w:rsidRDefault="007371C5" w:rsidP="00356AA0">
            <w:pPr>
              <w:jc w:val="center"/>
              <w:rPr>
                <w:rFonts w:ascii="Times New Roman" w:hAnsi="Times New Roman" w:cs="Times New Roman"/>
              </w:rPr>
            </w:pPr>
          </w:p>
        </w:tc>
      </w:tr>
      <w:tr w:rsidR="007371C5" w:rsidRPr="00C2676B" w14:paraId="069DBFE6" w14:textId="77777777" w:rsidTr="00356AA0">
        <w:tc>
          <w:tcPr>
            <w:tcW w:w="3380" w:type="dxa"/>
            <w:tcBorders>
              <w:top w:val="single" w:sz="4" w:space="0" w:color="auto"/>
              <w:bottom w:val="nil"/>
              <w:right w:val="nil"/>
            </w:tcBorders>
            <w:tcMar>
              <w:left w:w="58" w:type="dxa"/>
              <w:right w:w="58" w:type="dxa"/>
            </w:tcMar>
          </w:tcPr>
          <w:p w14:paraId="3FE67559"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Overall Model</w:t>
            </w:r>
          </w:p>
        </w:tc>
        <w:tc>
          <w:tcPr>
            <w:tcW w:w="216" w:type="dxa"/>
            <w:tcBorders>
              <w:top w:val="nil"/>
              <w:left w:val="nil"/>
              <w:bottom w:val="nil"/>
              <w:right w:val="nil"/>
            </w:tcBorders>
            <w:tcMar>
              <w:left w:w="58" w:type="dxa"/>
              <w:right w:w="58" w:type="dxa"/>
            </w:tcMar>
          </w:tcPr>
          <w:p w14:paraId="0730A51D"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03AEB7A"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24.75</w:t>
            </w:r>
          </w:p>
        </w:tc>
        <w:tc>
          <w:tcPr>
            <w:tcW w:w="216" w:type="dxa"/>
            <w:tcBorders>
              <w:top w:val="nil"/>
              <w:left w:val="nil"/>
              <w:bottom w:val="nil"/>
              <w:right w:val="nil"/>
            </w:tcBorders>
            <w:tcMar>
              <w:left w:w="58" w:type="dxa"/>
              <w:right w:w="58" w:type="dxa"/>
            </w:tcMar>
          </w:tcPr>
          <w:p w14:paraId="1F688C07"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8D0A0D1"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&lt; 0.001*</w:t>
            </w:r>
          </w:p>
        </w:tc>
        <w:tc>
          <w:tcPr>
            <w:tcW w:w="216" w:type="dxa"/>
            <w:tcBorders>
              <w:top w:val="nil"/>
              <w:left w:val="nil"/>
              <w:bottom w:val="nil"/>
              <w:right w:val="nil"/>
            </w:tcBorders>
            <w:tcMar>
              <w:left w:w="58" w:type="dxa"/>
              <w:right w:w="58" w:type="dxa"/>
            </w:tcMar>
          </w:tcPr>
          <w:p w14:paraId="46B63536"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572436CD"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3573CAD"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4BF896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306CBA6"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56BF5E9E" w14:textId="77777777" w:rsidR="007371C5" w:rsidRPr="00C2676B" w:rsidRDefault="007371C5" w:rsidP="00356AA0">
            <w:pPr>
              <w:jc w:val="center"/>
              <w:rPr>
                <w:rFonts w:ascii="Times New Roman" w:hAnsi="Times New Roman" w:cs="Times New Roman"/>
              </w:rPr>
            </w:pPr>
          </w:p>
        </w:tc>
      </w:tr>
      <w:tr w:rsidR="007371C5" w:rsidRPr="00C2676B" w14:paraId="2F586A10" w14:textId="77777777" w:rsidTr="00356AA0">
        <w:tc>
          <w:tcPr>
            <w:tcW w:w="3380" w:type="dxa"/>
            <w:tcBorders>
              <w:top w:val="nil"/>
              <w:bottom w:val="nil"/>
              <w:right w:val="nil"/>
            </w:tcBorders>
            <w:tcMar>
              <w:left w:w="58" w:type="dxa"/>
              <w:right w:w="58" w:type="dxa"/>
            </w:tcMar>
          </w:tcPr>
          <w:p w14:paraId="6CD78EA1"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Neighborhood disadvantage</w:t>
            </w:r>
          </w:p>
        </w:tc>
        <w:tc>
          <w:tcPr>
            <w:tcW w:w="216" w:type="dxa"/>
            <w:tcBorders>
              <w:top w:val="nil"/>
              <w:left w:val="nil"/>
              <w:bottom w:val="nil"/>
              <w:right w:val="nil"/>
            </w:tcBorders>
            <w:tcMar>
              <w:left w:w="58" w:type="dxa"/>
              <w:right w:w="58" w:type="dxa"/>
            </w:tcMar>
          </w:tcPr>
          <w:p w14:paraId="2487998C"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11A486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859831E"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D0809F7"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8731588"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020DE338"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-0.130</w:t>
            </w:r>
          </w:p>
        </w:tc>
        <w:tc>
          <w:tcPr>
            <w:tcW w:w="216" w:type="dxa"/>
            <w:tcBorders>
              <w:top w:val="nil"/>
              <w:left w:val="nil"/>
              <w:bottom w:val="nil"/>
              <w:right w:val="nil"/>
            </w:tcBorders>
            <w:tcMar>
              <w:left w:w="58" w:type="dxa"/>
              <w:right w:w="58" w:type="dxa"/>
            </w:tcMar>
          </w:tcPr>
          <w:p w14:paraId="69D28287"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BE6752C"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-2.44</w:t>
            </w:r>
          </w:p>
        </w:tc>
        <w:tc>
          <w:tcPr>
            <w:tcW w:w="216" w:type="dxa"/>
            <w:tcBorders>
              <w:top w:val="nil"/>
              <w:left w:val="nil"/>
              <w:bottom w:val="nil"/>
              <w:right w:val="nil"/>
            </w:tcBorders>
            <w:tcMar>
              <w:left w:w="58" w:type="dxa"/>
              <w:right w:w="58" w:type="dxa"/>
            </w:tcMar>
          </w:tcPr>
          <w:p w14:paraId="6329FAB0"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5C832CBE"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0.015</w:t>
            </w:r>
          </w:p>
        </w:tc>
      </w:tr>
      <w:tr w:rsidR="007371C5" w:rsidRPr="00C2676B" w14:paraId="3B069454" w14:textId="77777777" w:rsidTr="00356AA0">
        <w:tc>
          <w:tcPr>
            <w:tcW w:w="3380" w:type="dxa"/>
            <w:tcBorders>
              <w:top w:val="nil"/>
              <w:bottom w:val="nil"/>
              <w:right w:val="nil"/>
            </w:tcBorders>
            <w:tcMar>
              <w:left w:w="58" w:type="dxa"/>
              <w:right w:w="58" w:type="dxa"/>
            </w:tcMar>
          </w:tcPr>
          <w:p w14:paraId="6DE9B702"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Violence exposure</w:t>
            </w:r>
          </w:p>
        </w:tc>
        <w:tc>
          <w:tcPr>
            <w:tcW w:w="216" w:type="dxa"/>
            <w:tcBorders>
              <w:top w:val="nil"/>
              <w:left w:val="nil"/>
              <w:bottom w:val="nil"/>
              <w:right w:val="nil"/>
            </w:tcBorders>
            <w:tcMar>
              <w:left w:w="58" w:type="dxa"/>
              <w:right w:w="58" w:type="dxa"/>
            </w:tcMar>
          </w:tcPr>
          <w:p w14:paraId="3A1EC7B4"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9E0278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758FF1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C3E22A3"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6C3C3E6"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3F3F0B9F"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-0.115</w:t>
            </w:r>
          </w:p>
        </w:tc>
        <w:tc>
          <w:tcPr>
            <w:tcW w:w="216" w:type="dxa"/>
            <w:tcBorders>
              <w:top w:val="nil"/>
              <w:left w:val="nil"/>
              <w:bottom w:val="nil"/>
              <w:right w:val="nil"/>
            </w:tcBorders>
            <w:tcMar>
              <w:left w:w="58" w:type="dxa"/>
              <w:right w:w="58" w:type="dxa"/>
            </w:tcMar>
          </w:tcPr>
          <w:p w14:paraId="70ADAE06"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1F9FF29"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-2.12</w:t>
            </w:r>
          </w:p>
        </w:tc>
        <w:tc>
          <w:tcPr>
            <w:tcW w:w="216" w:type="dxa"/>
            <w:tcBorders>
              <w:top w:val="nil"/>
              <w:left w:val="nil"/>
              <w:bottom w:val="nil"/>
              <w:right w:val="nil"/>
            </w:tcBorders>
            <w:tcMar>
              <w:left w:w="58" w:type="dxa"/>
              <w:right w:w="58" w:type="dxa"/>
            </w:tcMar>
          </w:tcPr>
          <w:p w14:paraId="7EBE9FC8"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7204BE54"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0.035</w:t>
            </w:r>
          </w:p>
        </w:tc>
      </w:tr>
      <w:tr w:rsidR="007371C5" w:rsidRPr="00C2676B" w14:paraId="024DC54A" w14:textId="77777777" w:rsidTr="00356AA0">
        <w:tc>
          <w:tcPr>
            <w:tcW w:w="3380" w:type="dxa"/>
            <w:tcBorders>
              <w:top w:val="nil"/>
              <w:bottom w:val="nil"/>
              <w:right w:val="nil"/>
            </w:tcBorders>
            <w:tcMar>
              <w:left w:w="58" w:type="dxa"/>
              <w:right w:w="58" w:type="dxa"/>
            </w:tcMar>
          </w:tcPr>
          <w:p w14:paraId="06751F14" w14:textId="77777777" w:rsidR="007371C5" w:rsidRPr="00C2676B" w:rsidRDefault="007371C5" w:rsidP="00356AA0">
            <w:pPr>
              <w:jc w:val="right"/>
              <w:rPr>
                <w:rFonts w:ascii="Times New Roman" w:hAnsi="Times New Roman" w:cs="Times New Roman"/>
              </w:rPr>
            </w:pPr>
          </w:p>
        </w:tc>
        <w:tc>
          <w:tcPr>
            <w:tcW w:w="216" w:type="dxa"/>
            <w:tcBorders>
              <w:top w:val="nil"/>
              <w:left w:val="nil"/>
              <w:bottom w:val="nil"/>
              <w:right w:val="nil"/>
            </w:tcBorders>
            <w:tcMar>
              <w:left w:w="58" w:type="dxa"/>
              <w:right w:w="58" w:type="dxa"/>
            </w:tcMar>
          </w:tcPr>
          <w:p w14:paraId="5635FD75"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0495E5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9B65FCB"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485BD31"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9B807D2"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3410E96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7D77774"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00E5EDA"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259B67F"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76BB1627" w14:textId="77777777" w:rsidR="007371C5" w:rsidRPr="00C2676B" w:rsidRDefault="007371C5" w:rsidP="00356AA0">
            <w:pPr>
              <w:jc w:val="center"/>
              <w:rPr>
                <w:rFonts w:ascii="Times New Roman" w:hAnsi="Times New Roman" w:cs="Times New Roman"/>
              </w:rPr>
            </w:pPr>
          </w:p>
        </w:tc>
      </w:tr>
      <w:tr w:rsidR="007371C5" w:rsidRPr="00C2676B" w14:paraId="3CDF1B11" w14:textId="77777777" w:rsidTr="00356AA0">
        <w:tc>
          <w:tcPr>
            <w:tcW w:w="3380" w:type="dxa"/>
            <w:tcBorders>
              <w:top w:val="nil"/>
              <w:bottom w:val="single" w:sz="4" w:space="0" w:color="auto"/>
              <w:right w:val="nil"/>
            </w:tcBorders>
            <w:tcMar>
              <w:left w:w="58" w:type="dxa"/>
              <w:right w:w="58" w:type="dxa"/>
            </w:tcMar>
          </w:tcPr>
          <w:p w14:paraId="7C9669BE" w14:textId="77777777" w:rsidR="007371C5" w:rsidRPr="00C2676B" w:rsidRDefault="007371C5" w:rsidP="00356AA0">
            <w:pPr>
              <w:rPr>
                <w:rFonts w:ascii="Times New Roman" w:hAnsi="Times New Roman" w:cs="Times New Roman"/>
              </w:rPr>
            </w:pPr>
            <w:r w:rsidRPr="00C2676B">
              <w:rPr>
                <w:rFonts w:ascii="Times New Roman" w:hAnsi="Times New Roman" w:cs="Times New Roman"/>
              </w:rPr>
              <w:t>Left Uncinate Fasciculus (QA)</w:t>
            </w:r>
          </w:p>
        </w:tc>
        <w:tc>
          <w:tcPr>
            <w:tcW w:w="216" w:type="dxa"/>
            <w:tcBorders>
              <w:top w:val="nil"/>
              <w:left w:val="nil"/>
              <w:bottom w:val="nil"/>
              <w:right w:val="nil"/>
            </w:tcBorders>
            <w:tcMar>
              <w:left w:w="58" w:type="dxa"/>
              <w:right w:w="58" w:type="dxa"/>
            </w:tcMar>
          </w:tcPr>
          <w:p w14:paraId="31639144"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3C8B631"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602637F"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4AFD5F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8B0C5AA"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109BEF8A"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941405F"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74F620A"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B70F831"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67EE527B" w14:textId="77777777" w:rsidR="007371C5" w:rsidRPr="00C2676B" w:rsidRDefault="007371C5" w:rsidP="00356AA0">
            <w:pPr>
              <w:jc w:val="center"/>
              <w:rPr>
                <w:rFonts w:ascii="Times New Roman" w:hAnsi="Times New Roman" w:cs="Times New Roman"/>
              </w:rPr>
            </w:pPr>
          </w:p>
        </w:tc>
      </w:tr>
      <w:tr w:rsidR="007371C5" w:rsidRPr="00C2676B" w14:paraId="4D1583C1" w14:textId="77777777" w:rsidTr="00356AA0">
        <w:tc>
          <w:tcPr>
            <w:tcW w:w="3380" w:type="dxa"/>
            <w:tcBorders>
              <w:top w:val="single" w:sz="4" w:space="0" w:color="auto"/>
              <w:bottom w:val="nil"/>
              <w:right w:val="nil"/>
            </w:tcBorders>
            <w:tcMar>
              <w:left w:w="58" w:type="dxa"/>
              <w:right w:w="58" w:type="dxa"/>
            </w:tcMar>
          </w:tcPr>
          <w:p w14:paraId="561E219B"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Overall Model</w:t>
            </w:r>
          </w:p>
        </w:tc>
        <w:tc>
          <w:tcPr>
            <w:tcW w:w="216" w:type="dxa"/>
            <w:tcBorders>
              <w:top w:val="nil"/>
              <w:left w:val="nil"/>
              <w:bottom w:val="nil"/>
              <w:right w:val="nil"/>
            </w:tcBorders>
            <w:tcMar>
              <w:left w:w="58" w:type="dxa"/>
              <w:right w:w="58" w:type="dxa"/>
            </w:tcMar>
          </w:tcPr>
          <w:p w14:paraId="5CFC2D9E"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16EFF5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7.92</w:t>
            </w:r>
          </w:p>
        </w:tc>
        <w:tc>
          <w:tcPr>
            <w:tcW w:w="216" w:type="dxa"/>
            <w:tcBorders>
              <w:top w:val="nil"/>
              <w:left w:val="nil"/>
              <w:bottom w:val="nil"/>
              <w:right w:val="nil"/>
            </w:tcBorders>
            <w:tcMar>
              <w:left w:w="58" w:type="dxa"/>
              <w:right w:w="58" w:type="dxa"/>
            </w:tcMar>
          </w:tcPr>
          <w:p w14:paraId="2A46402A"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4184E64"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&lt; 0.001*</w:t>
            </w:r>
          </w:p>
        </w:tc>
        <w:tc>
          <w:tcPr>
            <w:tcW w:w="216" w:type="dxa"/>
            <w:tcBorders>
              <w:top w:val="nil"/>
              <w:left w:val="nil"/>
              <w:bottom w:val="nil"/>
              <w:right w:val="nil"/>
            </w:tcBorders>
            <w:tcMar>
              <w:left w:w="58" w:type="dxa"/>
              <w:right w:w="58" w:type="dxa"/>
            </w:tcMar>
          </w:tcPr>
          <w:p w14:paraId="138448F1"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54EF0DA1"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1EACFA6"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82CFE4D"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124B87F"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08C6C8E4" w14:textId="77777777" w:rsidR="007371C5" w:rsidRPr="00C2676B" w:rsidRDefault="007371C5" w:rsidP="00356AA0">
            <w:pPr>
              <w:jc w:val="center"/>
              <w:rPr>
                <w:rFonts w:ascii="Times New Roman" w:hAnsi="Times New Roman" w:cs="Times New Roman"/>
              </w:rPr>
            </w:pPr>
          </w:p>
        </w:tc>
      </w:tr>
      <w:tr w:rsidR="007371C5" w:rsidRPr="00C2676B" w14:paraId="3AF27B3F" w14:textId="77777777" w:rsidTr="00356AA0">
        <w:tc>
          <w:tcPr>
            <w:tcW w:w="3380" w:type="dxa"/>
            <w:tcBorders>
              <w:top w:val="nil"/>
              <w:bottom w:val="nil"/>
              <w:right w:val="nil"/>
            </w:tcBorders>
            <w:tcMar>
              <w:left w:w="58" w:type="dxa"/>
              <w:right w:w="58" w:type="dxa"/>
            </w:tcMar>
          </w:tcPr>
          <w:p w14:paraId="4D6C7468"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Neighborhood disadvantage</w:t>
            </w:r>
          </w:p>
        </w:tc>
        <w:tc>
          <w:tcPr>
            <w:tcW w:w="216" w:type="dxa"/>
            <w:tcBorders>
              <w:top w:val="nil"/>
              <w:left w:val="nil"/>
              <w:bottom w:val="nil"/>
              <w:right w:val="nil"/>
            </w:tcBorders>
            <w:tcMar>
              <w:left w:w="58" w:type="dxa"/>
              <w:right w:w="58" w:type="dxa"/>
            </w:tcMar>
          </w:tcPr>
          <w:p w14:paraId="54BA85D5"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2AD243C"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753BBD6"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259B067"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5D1009C"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7E114C6B"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-0.132</w:t>
            </w:r>
          </w:p>
        </w:tc>
        <w:tc>
          <w:tcPr>
            <w:tcW w:w="216" w:type="dxa"/>
            <w:tcBorders>
              <w:top w:val="nil"/>
              <w:left w:val="nil"/>
              <w:bottom w:val="nil"/>
              <w:right w:val="nil"/>
            </w:tcBorders>
            <w:tcMar>
              <w:left w:w="58" w:type="dxa"/>
              <w:right w:w="58" w:type="dxa"/>
            </w:tcMar>
          </w:tcPr>
          <w:p w14:paraId="78AD9D5A"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77A88E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-2.19</w:t>
            </w:r>
          </w:p>
        </w:tc>
        <w:tc>
          <w:tcPr>
            <w:tcW w:w="216" w:type="dxa"/>
            <w:tcBorders>
              <w:top w:val="nil"/>
              <w:left w:val="nil"/>
              <w:bottom w:val="nil"/>
              <w:right w:val="nil"/>
            </w:tcBorders>
            <w:tcMar>
              <w:left w:w="58" w:type="dxa"/>
              <w:right w:w="58" w:type="dxa"/>
            </w:tcMar>
          </w:tcPr>
          <w:p w14:paraId="72E29520"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797FE7F4"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0.029</w:t>
            </w:r>
          </w:p>
        </w:tc>
      </w:tr>
      <w:tr w:rsidR="007371C5" w:rsidRPr="00C2676B" w14:paraId="3481195D" w14:textId="77777777" w:rsidTr="00356AA0">
        <w:tc>
          <w:tcPr>
            <w:tcW w:w="3380" w:type="dxa"/>
            <w:tcBorders>
              <w:top w:val="nil"/>
              <w:bottom w:val="nil"/>
              <w:right w:val="nil"/>
            </w:tcBorders>
            <w:tcMar>
              <w:left w:w="58" w:type="dxa"/>
              <w:right w:w="58" w:type="dxa"/>
            </w:tcMar>
          </w:tcPr>
          <w:p w14:paraId="036EE041"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Violence exposure</w:t>
            </w:r>
          </w:p>
        </w:tc>
        <w:tc>
          <w:tcPr>
            <w:tcW w:w="216" w:type="dxa"/>
            <w:tcBorders>
              <w:top w:val="nil"/>
              <w:left w:val="nil"/>
              <w:bottom w:val="nil"/>
              <w:right w:val="nil"/>
            </w:tcBorders>
            <w:tcMar>
              <w:left w:w="58" w:type="dxa"/>
              <w:right w:w="58" w:type="dxa"/>
            </w:tcMar>
          </w:tcPr>
          <w:p w14:paraId="4F9DD236"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4964F16"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564E74B"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B09FC17"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918E202"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2AA356E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-0.040</w:t>
            </w:r>
          </w:p>
        </w:tc>
        <w:tc>
          <w:tcPr>
            <w:tcW w:w="216" w:type="dxa"/>
            <w:tcBorders>
              <w:top w:val="nil"/>
              <w:left w:val="nil"/>
              <w:bottom w:val="nil"/>
              <w:right w:val="nil"/>
            </w:tcBorders>
            <w:tcMar>
              <w:left w:w="58" w:type="dxa"/>
              <w:right w:w="58" w:type="dxa"/>
            </w:tcMar>
          </w:tcPr>
          <w:p w14:paraId="574965CF"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5D38F24"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-0.659</w:t>
            </w:r>
          </w:p>
        </w:tc>
        <w:tc>
          <w:tcPr>
            <w:tcW w:w="216" w:type="dxa"/>
            <w:tcBorders>
              <w:top w:val="nil"/>
              <w:left w:val="nil"/>
              <w:bottom w:val="nil"/>
              <w:right w:val="nil"/>
            </w:tcBorders>
            <w:tcMar>
              <w:left w:w="58" w:type="dxa"/>
              <w:right w:w="58" w:type="dxa"/>
            </w:tcMar>
          </w:tcPr>
          <w:p w14:paraId="102722DC"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4871100A"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0.510</w:t>
            </w:r>
          </w:p>
        </w:tc>
      </w:tr>
      <w:tr w:rsidR="007371C5" w:rsidRPr="00C2676B" w14:paraId="17DC3325" w14:textId="77777777" w:rsidTr="00356AA0">
        <w:tc>
          <w:tcPr>
            <w:tcW w:w="3380" w:type="dxa"/>
            <w:tcBorders>
              <w:top w:val="nil"/>
              <w:bottom w:val="nil"/>
              <w:right w:val="nil"/>
            </w:tcBorders>
            <w:tcMar>
              <w:left w:w="58" w:type="dxa"/>
              <w:right w:w="58" w:type="dxa"/>
            </w:tcMar>
          </w:tcPr>
          <w:p w14:paraId="57B6D46F" w14:textId="77777777" w:rsidR="007371C5" w:rsidRPr="00C2676B" w:rsidRDefault="007371C5" w:rsidP="00356AA0">
            <w:pPr>
              <w:jc w:val="right"/>
              <w:rPr>
                <w:rFonts w:ascii="Times New Roman" w:hAnsi="Times New Roman" w:cs="Times New Roman"/>
              </w:rPr>
            </w:pPr>
          </w:p>
        </w:tc>
        <w:tc>
          <w:tcPr>
            <w:tcW w:w="216" w:type="dxa"/>
            <w:tcBorders>
              <w:top w:val="nil"/>
              <w:left w:val="nil"/>
              <w:bottom w:val="nil"/>
              <w:right w:val="nil"/>
            </w:tcBorders>
            <w:tcMar>
              <w:left w:w="58" w:type="dxa"/>
              <w:right w:w="58" w:type="dxa"/>
            </w:tcMar>
          </w:tcPr>
          <w:p w14:paraId="1C008363"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ABD375E"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801F927"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EC00523"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79203DA"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17AAB104"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A55B2B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4B68654"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94C088D"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34F0E05E" w14:textId="77777777" w:rsidR="007371C5" w:rsidRPr="00C2676B" w:rsidRDefault="007371C5" w:rsidP="00356AA0">
            <w:pPr>
              <w:jc w:val="center"/>
              <w:rPr>
                <w:rFonts w:ascii="Times New Roman" w:hAnsi="Times New Roman" w:cs="Times New Roman"/>
              </w:rPr>
            </w:pPr>
          </w:p>
        </w:tc>
      </w:tr>
      <w:tr w:rsidR="007371C5" w:rsidRPr="00C2676B" w14:paraId="3086FE6D" w14:textId="77777777" w:rsidTr="00356AA0">
        <w:tc>
          <w:tcPr>
            <w:tcW w:w="3380" w:type="dxa"/>
            <w:tcBorders>
              <w:top w:val="nil"/>
              <w:bottom w:val="single" w:sz="4" w:space="0" w:color="auto"/>
              <w:right w:val="nil"/>
            </w:tcBorders>
            <w:tcMar>
              <w:left w:w="58" w:type="dxa"/>
              <w:right w:w="58" w:type="dxa"/>
            </w:tcMar>
          </w:tcPr>
          <w:p w14:paraId="75A2C05F" w14:textId="77777777" w:rsidR="007371C5" w:rsidRPr="00C2676B" w:rsidRDefault="007371C5" w:rsidP="00356AA0">
            <w:pPr>
              <w:rPr>
                <w:rFonts w:ascii="Times New Roman" w:hAnsi="Times New Roman" w:cs="Times New Roman"/>
              </w:rPr>
            </w:pPr>
            <w:r w:rsidRPr="00C2676B">
              <w:rPr>
                <w:rFonts w:ascii="Times New Roman" w:hAnsi="Times New Roman" w:cs="Times New Roman"/>
              </w:rPr>
              <w:t>Right Uncinate Fasciculus (QA)</w:t>
            </w:r>
          </w:p>
        </w:tc>
        <w:tc>
          <w:tcPr>
            <w:tcW w:w="216" w:type="dxa"/>
            <w:tcBorders>
              <w:top w:val="nil"/>
              <w:left w:val="nil"/>
              <w:bottom w:val="nil"/>
              <w:right w:val="nil"/>
            </w:tcBorders>
            <w:tcMar>
              <w:left w:w="58" w:type="dxa"/>
              <w:right w:w="58" w:type="dxa"/>
            </w:tcMar>
          </w:tcPr>
          <w:p w14:paraId="7FBAE39C"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FBAD57A"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D9C824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83E0F1D"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FD6D686"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6FF0D0C8"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4867D79"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6884554"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4D86E1A"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1E0492F8" w14:textId="77777777" w:rsidR="007371C5" w:rsidRPr="00C2676B" w:rsidRDefault="007371C5" w:rsidP="00356AA0">
            <w:pPr>
              <w:jc w:val="center"/>
              <w:rPr>
                <w:rFonts w:ascii="Times New Roman" w:hAnsi="Times New Roman" w:cs="Times New Roman"/>
              </w:rPr>
            </w:pPr>
          </w:p>
        </w:tc>
      </w:tr>
      <w:tr w:rsidR="007371C5" w:rsidRPr="00C2676B" w14:paraId="78AD6271" w14:textId="77777777" w:rsidTr="00356AA0">
        <w:tc>
          <w:tcPr>
            <w:tcW w:w="3380" w:type="dxa"/>
            <w:tcBorders>
              <w:top w:val="single" w:sz="4" w:space="0" w:color="auto"/>
              <w:bottom w:val="nil"/>
              <w:right w:val="nil"/>
            </w:tcBorders>
            <w:tcMar>
              <w:left w:w="58" w:type="dxa"/>
              <w:right w:w="58" w:type="dxa"/>
            </w:tcMar>
          </w:tcPr>
          <w:p w14:paraId="45DB5644"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Overall Model</w:t>
            </w:r>
          </w:p>
        </w:tc>
        <w:tc>
          <w:tcPr>
            <w:tcW w:w="216" w:type="dxa"/>
            <w:tcBorders>
              <w:top w:val="nil"/>
              <w:left w:val="nil"/>
              <w:bottom w:val="nil"/>
              <w:right w:val="nil"/>
            </w:tcBorders>
            <w:tcMar>
              <w:left w:w="58" w:type="dxa"/>
              <w:right w:w="58" w:type="dxa"/>
            </w:tcMar>
          </w:tcPr>
          <w:p w14:paraId="0A89512A"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0FB5F4B"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5.93</w:t>
            </w:r>
          </w:p>
        </w:tc>
        <w:tc>
          <w:tcPr>
            <w:tcW w:w="216" w:type="dxa"/>
            <w:tcBorders>
              <w:top w:val="nil"/>
              <w:left w:val="nil"/>
              <w:bottom w:val="nil"/>
              <w:right w:val="nil"/>
            </w:tcBorders>
            <w:tcMar>
              <w:left w:w="58" w:type="dxa"/>
              <w:right w:w="58" w:type="dxa"/>
            </w:tcMar>
          </w:tcPr>
          <w:p w14:paraId="5683B270"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56145A3"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&lt; 0.001*</w:t>
            </w:r>
          </w:p>
        </w:tc>
        <w:tc>
          <w:tcPr>
            <w:tcW w:w="216" w:type="dxa"/>
            <w:tcBorders>
              <w:top w:val="nil"/>
              <w:left w:val="nil"/>
              <w:bottom w:val="nil"/>
              <w:right w:val="nil"/>
            </w:tcBorders>
            <w:tcMar>
              <w:left w:w="58" w:type="dxa"/>
              <w:right w:w="58" w:type="dxa"/>
            </w:tcMar>
          </w:tcPr>
          <w:p w14:paraId="4FB9349D"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0F243FE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CB55F94"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520B3F7"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2A4E6AA"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6B320316" w14:textId="77777777" w:rsidR="007371C5" w:rsidRPr="00C2676B" w:rsidRDefault="007371C5" w:rsidP="00356AA0">
            <w:pPr>
              <w:jc w:val="center"/>
              <w:rPr>
                <w:rFonts w:ascii="Times New Roman" w:hAnsi="Times New Roman" w:cs="Times New Roman"/>
              </w:rPr>
            </w:pPr>
          </w:p>
        </w:tc>
      </w:tr>
      <w:tr w:rsidR="007371C5" w:rsidRPr="00C2676B" w14:paraId="75FCA717" w14:textId="77777777" w:rsidTr="00356AA0">
        <w:tc>
          <w:tcPr>
            <w:tcW w:w="3380" w:type="dxa"/>
            <w:tcBorders>
              <w:top w:val="nil"/>
              <w:bottom w:val="nil"/>
              <w:right w:val="nil"/>
            </w:tcBorders>
            <w:tcMar>
              <w:left w:w="58" w:type="dxa"/>
              <w:right w:w="58" w:type="dxa"/>
            </w:tcMar>
          </w:tcPr>
          <w:p w14:paraId="2EA68835"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Neighborhood disadvantage</w:t>
            </w:r>
          </w:p>
        </w:tc>
        <w:tc>
          <w:tcPr>
            <w:tcW w:w="216" w:type="dxa"/>
            <w:tcBorders>
              <w:top w:val="nil"/>
              <w:left w:val="nil"/>
              <w:bottom w:val="nil"/>
              <w:right w:val="nil"/>
            </w:tcBorders>
            <w:tcMar>
              <w:left w:w="58" w:type="dxa"/>
              <w:right w:w="58" w:type="dxa"/>
            </w:tcMar>
          </w:tcPr>
          <w:p w14:paraId="45C4162C"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E93635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755B8E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EA40CCD"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68BF0DC"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31A40057"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-0.143</w:t>
            </w:r>
          </w:p>
        </w:tc>
        <w:tc>
          <w:tcPr>
            <w:tcW w:w="216" w:type="dxa"/>
            <w:tcBorders>
              <w:top w:val="nil"/>
              <w:left w:val="nil"/>
              <w:bottom w:val="nil"/>
              <w:right w:val="nil"/>
            </w:tcBorders>
            <w:tcMar>
              <w:left w:w="58" w:type="dxa"/>
              <w:right w:w="58" w:type="dxa"/>
            </w:tcMar>
          </w:tcPr>
          <w:p w14:paraId="7BADC9F7"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52A0A0E"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-2.33</w:t>
            </w:r>
          </w:p>
        </w:tc>
        <w:tc>
          <w:tcPr>
            <w:tcW w:w="216" w:type="dxa"/>
            <w:tcBorders>
              <w:top w:val="nil"/>
              <w:left w:val="nil"/>
              <w:bottom w:val="nil"/>
              <w:right w:val="nil"/>
            </w:tcBorders>
            <w:tcMar>
              <w:left w:w="58" w:type="dxa"/>
              <w:right w:w="58" w:type="dxa"/>
            </w:tcMar>
          </w:tcPr>
          <w:p w14:paraId="48D0A8B5"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07E4F7A2"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0.021</w:t>
            </w:r>
          </w:p>
        </w:tc>
      </w:tr>
      <w:tr w:rsidR="007371C5" w:rsidRPr="00C2676B" w14:paraId="752F9A31" w14:textId="77777777" w:rsidTr="00356AA0">
        <w:tc>
          <w:tcPr>
            <w:tcW w:w="3380" w:type="dxa"/>
            <w:tcBorders>
              <w:top w:val="nil"/>
              <w:bottom w:val="nil"/>
              <w:right w:val="nil"/>
            </w:tcBorders>
            <w:tcMar>
              <w:left w:w="58" w:type="dxa"/>
              <w:right w:w="58" w:type="dxa"/>
            </w:tcMar>
          </w:tcPr>
          <w:p w14:paraId="78A301C2"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Violence exposure</w:t>
            </w:r>
          </w:p>
        </w:tc>
        <w:tc>
          <w:tcPr>
            <w:tcW w:w="216" w:type="dxa"/>
            <w:tcBorders>
              <w:top w:val="nil"/>
              <w:left w:val="nil"/>
              <w:bottom w:val="nil"/>
              <w:right w:val="nil"/>
            </w:tcBorders>
            <w:tcMar>
              <w:left w:w="58" w:type="dxa"/>
              <w:right w:w="58" w:type="dxa"/>
            </w:tcMar>
          </w:tcPr>
          <w:p w14:paraId="2087589A"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35EDFC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9BC2C09"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2F2456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35EB04E"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729E7946"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-0.041</w:t>
            </w:r>
          </w:p>
        </w:tc>
        <w:tc>
          <w:tcPr>
            <w:tcW w:w="216" w:type="dxa"/>
            <w:tcBorders>
              <w:top w:val="nil"/>
              <w:left w:val="nil"/>
              <w:bottom w:val="nil"/>
              <w:right w:val="nil"/>
            </w:tcBorders>
            <w:tcMar>
              <w:left w:w="58" w:type="dxa"/>
              <w:right w:w="58" w:type="dxa"/>
            </w:tcMar>
          </w:tcPr>
          <w:p w14:paraId="449F639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1BBBCAB"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-0.662</w:t>
            </w:r>
          </w:p>
        </w:tc>
        <w:tc>
          <w:tcPr>
            <w:tcW w:w="216" w:type="dxa"/>
            <w:tcBorders>
              <w:top w:val="nil"/>
              <w:left w:val="nil"/>
              <w:bottom w:val="nil"/>
              <w:right w:val="nil"/>
            </w:tcBorders>
            <w:tcMar>
              <w:left w:w="58" w:type="dxa"/>
              <w:right w:w="58" w:type="dxa"/>
            </w:tcMar>
          </w:tcPr>
          <w:p w14:paraId="0A41C3CA"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1800E3CB"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0.508</w:t>
            </w:r>
          </w:p>
        </w:tc>
      </w:tr>
      <w:tr w:rsidR="007371C5" w:rsidRPr="00C2676B" w14:paraId="700FB4A2" w14:textId="77777777" w:rsidTr="00356AA0">
        <w:tc>
          <w:tcPr>
            <w:tcW w:w="3380" w:type="dxa"/>
            <w:tcBorders>
              <w:top w:val="nil"/>
              <w:bottom w:val="nil"/>
              <w:right w:val="nil"/>
            </w:tcBorders>
            <w:tcMar>
              <w:left w:w="58" w:type="dxa"/>
              <w:right w:w="58" w:type="dxa"/>
            </w:tcMar>
          </w:tcPr>
          <w:p w14:paraId="3E3B3386" w14:textId="77777777" w:rsidR="007371C5" w:rsidRPr="00C2676B" w:rsidRDefault="007371C5" w:rsidP="00356AA0">
            <w:pPr>
              <w:jc w:val="right"/>
              <w:rPr>
                <w:rFonts w:ascii="Times New Roman" w:hAnsi="Times New Roman" w:cs="Times New Roman"/>
              </w:rPr>
            </w:pPr>
          </w:p>
        </w:tc>
        <w:tc>
          <w:tcPr>
            <w:tcW w:w="216" w:type="dxa"/>
            <w:tcBorders>
              <w:top w:val="nil"/>
              <w:left w:val="nil"/>
              <w:bottom w:val="nil"/>
              <w:right w:val="nil"/>
            </w:tcBorders>
            <w:tcMar>
              <w:left w:w="58" w:type="dxa"/>
              <w:right w:w="58" w:type="dxa"/>
            </w:tcMar>
          </w:tcPr>
          <w:p w14:paraId="003480E9"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9422D54"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AD1E2AE"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0F21C7A"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33B6A7B"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5970DBAE"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9A88AB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1DF370C"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B4F9EA6"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18863799" w14:textId="77777777" w:rsidR="007371C5" w:rsidRPr="00C2676B" w:rsidRDefault="007371C5" w:rsidP="00356AA0">
            <w:pPr>
              <w:jc w:val="center"/>
              <w:rPr>
                <w:rFonts w:ascii="Times New Roman" w:hAnsi="Times New Roman" w:cs="Times New Roman"/>
              </w:rPr>
            </w:pPr>
          </w:p>
        </w:tc>
      </w:tr>
      <w:tr w:rsidR="007371C5" w:rsidRPr="00C2676B" w14:paraId="0F62EC6D" w14:textId="77777777" w:rsidTr="00356AA0">
        <w:tc>
          <w:tcPr>
            <w:tcW w:w="3380" w:type="dxa"/>
            <w:tcBorders>
              <w:top w:val="nil"/>
              <w:bottom w:val="single" w:sz="4" w:space="0" w:color="auto"/>
              <w:right w:val="nil"/>
            </w:tcBorders>
            <w:tcMar>
              <w:left w:w="58" w:type="dxa"/>
              <w:right w:w="58" w:type="dxa"/>
            </w:tcMar>
          </w:tcPr>
          <w:p w14:paraId="259192B4" w14:textId="77777777" w:rsidR="007371C5" w:rsidRPr="00C2676B" w:rsidRDefault="007371C5" w:rsidP="00356AA0">
            <w:pPr>
              <w:rPr>
                <w:rFonts w:ascii="Times New Roman" w:hAnsi="Times New Roman" w:cs="Times New Roman"/>
              </w:rPr>
            </w:pPr>
            <w:r w:rsidRPr="00C2676B">
              <w:rPr>
                <w:rFonts w:ascii="Times New Roman" w:hAnsi="Times New Roman" w:cs="Times New Roman"/>
              </w:rPr>
              <w:t>Left Stria Terminalis/Fornix (QA)</w:t>
            </w:r>
          </w:p>
        </w:tc>
        <w:tc>
          <w:tcPr>
            <w:tcW w:w="216" w:type="dxa"/>
            <w:tcBorders>
              <w:top w:val="nil"/>
              <w:left w:val="nil"/>
              <w:bottom w:val="nil"/>
              <w:right w:val="nil"/>
            </w:tcBorders>
            <w:tcMar>
              <w:left w:w="58" w:type="dxa"/>
              <w:right w:w="58" w:type="dxa"/>
            </w:tcMar>
          </w:tcPr>
          <w:p w14:paraId="5CB5D3F0"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6908224"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0DD84C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D3ACC9C"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3C8571D"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07C2B03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2EF7FDB"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908C5C8"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0985F99"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20985789" w14:textId="77777777" w:rsidR="007371C5" w:rsidRPr="00C2676B" w:rsidRDefault="007371C5" w:rsidP="00356AA0">
            <w:pPr>
              <w:jc w:val="center"/>
              <w:rPr>
                <w:rFonts w:ascii="Times New Roman" w:hAnsi="Times New Roman" w:cs="Times New Roman"/>
              </w:rPr>
            </w:pPr>
          </w:p>
        </w:tc>
      </w:tr>
      <w:tr w:rsidR="007371C5" w:rsidRPr="00C2676B" w14:paraId="7E19AD30" w14:textId="77777777" w:rsidTr="00356AA0">
        <w:tc>
          <w:tcPr>
            <w:tcW w:w="3380" w:type="dxa"/>
            <w:tcBorders>
              <w:top w:val="single" w:sz="4" w:space="0" w:color="auto"/>
              <w:bottom w:val="nil"/>
              <w:right w:val="nil"/>
            </w:tcBorders>
            <w:tcMar>
              <w:left w:w="58" w:type="dxa"/>
              <w:right w:w="58" w:type="dxa"/>
            </w:tcMar>
          </w:tcPr>
          <w:p w14:paraId="6114DA47"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Overall Model</w:t>
            </w:r>
          </w:p>
        </w:tc>
        <w:tc>
          <w:tcPr>
            <w:tcW w:w="216" w:type="dxa"/>
            <w:tcBorders>
              <w:top w:val="nil"/>
              <w:left w:val="nil"/>
              <w:bottom w:val="nil"/>
              <w:right w:val="nil"/>
            </w:tcBorders>
            <w:tcMar>
              <w:left w:w="58" w:type="dxa"/>
              <w:right w:w="58" w:type="dxa"/>
            </w:tcMar>
          </w:tcPr>
          <w:p w14:paraId="7806B6F9"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4A65EDA"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7.60</w:t>
            </w:r>
          </w:p>
        </w:tc>
        <w:tc>
          <w:tcPr>
            <w:tcW w:w="216" w:type="dxa"/>
            <w:tcBorders>
              <w:top w:val="nil"/>
              <w:left w:val="nil"/>
              <w:bottom w:val="nil"/>
              <w:right w:val="nil"/>
            </w:tcBorders>
            <w:tcMar>
              <w:left w:w="58" w:type="dxa"/>
              <w:right w:w="58" w:type="dxa"/>
            </w:tcMar>
          </w:tcPr>
          <w:p w14:paraId="6D91965A"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541EDA4"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&lt; 0.001*</w:t>
            </w:r>
          </w:p>
        </w:tc>
        <w:tc>
          <w:tcPr>
            <w:tcW w:w="216" w:type="dxa"/>
            <w:tcBorders>
              <w:top w:val="nil"/>
              <w:left w:val="nil"/>
              <w:bottom w:val="nil"/>
              <w:right w:val="nil"/>
            </w:tcBorders>
            <w:tcMar>
              <w:left w:w="58" w:type="dxa"/>
              <w:right w:w="58" w:type="dxa"/>
            </w:tcMar>
          </w:tcPr>
          <w:p w14:paraId="4D465244"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1DCEE28E"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4D631F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848669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C93903C"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6411132E" w14:textId="77777777" w:rsidR="007371C5" w:rsidRPr="00C2676B" w:rsidRDefault="007371C5" w:rsidP="00356AA0">
            <w:pPr>
              <w:jc w:val="center"/>
              <w:rPr>
                <w:rFonts w:ascii="Times New Roman" w:hAnsi="Times New Roman" w:cs="Times New Roman"/>
              </w:rPr>
            </w:pPr>
          </w:p>
        </w:tc>
      </w:tr>
      <w:tr w:rsidR="007371C5" w:rsidRPr="00C2676B" w14:paraId="7CE4843A" w14:textId="77777777" w:rsidTr="00356AA0">
        <w:tc>
          <w:tcPr>
            <w:tcW w:w="3380" w:type="dxa"/>
            <w:tcBorders>
              <w:top w:val="nil"/>
              <w:bottom w:val="nil"/>
              <w:right w:val="nil"/>
            </w:tcBorders>
            <w:tcMar>
              <w:left w:w="58" w:type="dxa"/>
              <w:right w:w="58" w:type="dxa"/>
            </w:tcMar>
          </w:tcPr>
          <w:p w14:paraId="3A1616B4"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Neighborhood disadvantage</w:t>
            </w:r>
          </w:p>
        </w:tc>
        <w:tc>
          <w:tcPr>
            <w:tcW w:w="216" w:type="dxa"/>
            <w:tcBorders>
              <w:top w:val="nil"/>
              <w:left w:val="nil"/>
              <w:bottom w:val="nil"/>
              <w:right w:val="nil"/>
            </w:tcBorders>
            <w:tcMar>
              <w:left w:w="58" w:type="dxa"/>
              <w:right w:w="58" w:type="dxa"/>
            </w:tcMar>
          </w:tcPr>
          <w:p w14:paraId="7C71D26D"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5A2940A"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9160199"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C482CBE"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7E9268E"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6678CB88"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-0.160</w:t>
            </w:r>
          </w:p>
        </w:tc>
        <w:tc>
          <w:tcPr>
            <w:tcW w:w="216" w:type="dxa"/>
            <w:tcBorders>
              <w:top w:val="nil"/>
              <w:left w:val="nil"/>
              <w:bottom w:val="nil"/>
              <w:right w:val="nil"/>
            </w:tcBorders>
            <w:tcMar>
              <w:left w:w="58" w:type="dxa"/>
              <w:right w:w="58" w:type="dxa"/>
            </w:tcMar>
          </w:tcPr>
          <w:p w14:paraId="43251837"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11EE0D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-2.51</w:t>
            </w:r>
          </w:p>
        </w:tc>
        <w:tc>
          <w:tcPr>
            <w:tcW w:w="216" w:type="dxa"/>
            <w:tcBorders>
              <w:top w:val="nil"/>
              <w:left w:val="nil"/>
              <w:bottom w:val="nil"/>
              <w:right w:val="nil"/>
            </w:tcBorders>
            <w:tcMar>
              <w:left w:w="58" w:type="dxa"/>
              <w:right w:w="58" w:type="dxa"/>
            </w:tcMar>
          </w:tcPr>
          <w:p w14:paraId="18A3FF9B"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6691A7F0"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0.013</w:t>
            </w:r>
          </w:p>
        </w:tc>
      </w:tr>
      <w:tr w:rsidR="007371C5" w:rsidRPr="00C2676B" w14:paraId="1AF2FE27" w14:textId="77777777" w:rsidTr="00356AA0">
        <w:tc>
          <w:tcPr>
            <w:tcW w:w="3380" w:type="dxa"/>
            <w:tcBorders>
              <w:top w:val="nil"/>
              <w:bottom w:val="nil"/>
              <w:right w:val="nil"/>
            </w:tcBorders>
            <w:tcMar>
              <w:left w:w="58" w:type="dxa"/>
              <w:right w:w="58" w:type="dxa"/>
            </w:tcMar>
          </w:tcPr>
          <w:p w14:paraId="65B1AC17"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Violence exposure</w:t>
            </w:r>
          </w:p>
        </w:tc>
        <w:tc>
          <w:tcPr>
            <w:tcW w:w="216" w:type="dxa"/>
            <w:tcBorders>
              <w:top w:val="nil"/>
              <w:left w:val="nil"/>
              <w:bottom w:val="nil"/>
              <w:right w:val="nil"/>
            </w:tcBorders>
            <w:tcMar>
              <w:left w:w="58" w:type="dxa"/>
              <w:right w:w="58" w:type="dxa"/>
            </w:tcMar>
          </w:tcPr>
          <w:p w14:paraId="6C23D47B"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59B62A1"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5237C5A"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D665592"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9EDA9D1"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6D98805A"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-0.061</w:t>
            </w:r>
          </w:p>
        </w:tc>
        <w:tc>
          <w:tcPr>
            <w:tcW w:w="216" w:type="dxa"/>
            <w:tcBorders>
              <w:top w:val="nil"/>
              <w:left w:val="nil"/>
              <w:bottom w:val="nil"/>
              <w:right w:val="nil"/>
            </w:tcBorders>
            <w:tcMar>
              <w:left w:w="58" w:type="dxa"/>
              <w:right w:w="58" w:type="dxa"/>
            </w:tcMar>
          </w:tcPr>
          <w:p w14:paraId="0E80FD33"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57E54CA"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-0.948</w:t>
            </w:r>
          </w:p>
        </w:tc>
        <w:tc>
          <w:tcPr>
            <w:tcW w:w="216" w:type="dxa"/>
            <w:tcBorders>
              <w:top w:val="nil"/>
              <w:left w:val="nil"/>
              <w:bottom w:val="nil"/>
              <w:right w:val="nil"/>
            </w:tcBorders>
            <w:tcMar>
              <w:left w:w="58" w:type="dxa"/>
              <w:right w:w="58" w:type="dxa"/>
            </w:tcMar>
          </w:tcPr>
          <w:p w14:paraId="5A8772E4"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194F86CC"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0.344</w:t>
            </w:r>
          </w:p>
        </w:tc>
      </w:tr>
      <w:tr w:rsidR="007371C5" w:rsidRPr="00C2676B" w14:paraId="25CB74E0" w14:textId="77777777" w:rsidTr="00356AA0">
        <w:tc>
          <w:tcPr>
            <w:tcW w:w="3380" w:type="dxa"/>
            <w:tcBorders>
              <w:top w:val="nil"/>
              <w:bottom w:val="nil"/>
              <w:right w:val="nil"/>
            </w:tcBorders>
            <w:tcMar>
              <w:left w:w="58" w:type="dxa"/>
              <w:right w:w="58" w:type="dxa"/>
            </w:tcMar>
          </w:tcPr>
          <w:p w14:paraId="770CE0ED" w14:textId="77777777" w:rsidR="007371C5" w:rsidRPr="00C2676B" w:rsidRDefault="007371C5" w:rsidP="00356AA0">
            <w:pPr>
              <w:jc w:val="right"/>
              <w:rPr>
                <w:rFonts w:ascii="Times New Roman" w:hAnsi="Times New Roman" w:cs="Times New Roman"/>
              </w:rPr>
            </w:pPr>
          </w:p>
        </w:tc>
        <w:tc>
          <w:tcPr>
            <w:tcW w:w="216" w:type="dxa"/>
            <w:tcBorders>
              <w:top w:val="nil"/>
              <w:left w:val="nil"/>
              <w:bottom w:val="nil"/>
              <w:right w:val="nil"/>
            </w:tcBorders>
            <w:tcMar>
              <w:left w:w="58" w:type="dxa"/>
              <w:right w:w="58" w:type="dxa"/>
            </w:tcMar>
          </w:tcPr>
          <w:p w14:paraId="441DDE3B"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8E35A4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550AE4ED"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DFD4C77"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96B2815"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3EED5F9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3799D11"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B8B7442"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FF7F513"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36819F5D" w14:textId="77777777" w:rsidR="007371C5" w:rsidRPr="00C2676B" w:rsidRDefault="007371C5" w:rsidP="00356AA0">
            <w:pPr>
              <w:jc w:val="center"/>
              <w:rPr>
                <w:rFonts w:ascii="Times New Roman" w:hAnsi="Times New Roman" w:cs="Times New Roman"/>
              </w:rPr>
            </w:pPr>
          </w:p>
        </w:tc>
      </w:tr>
      <w:tr w:rsidR="007371C5" w:rsidRPr="00C2676B" w14:paraId="13A10E6A" w14:textId="77777777" w:rsidTr="00356AA0">
        <w:tc>
          <w:tcPr>
            <w:tcW w:w="3380" w:type="dxa"/>
            <w:tcBorders>
              <w:top w:val="nil"/>
              <w:bottom w:val="single" w:sz="4" w:space="0" w:color="auto"/>
              <w:right w:val="nil"/>
            </w:tcBorders>
            <w:tcMar>
              <w:left w:w="58" w:type="dxa"/>
              <w:right w:w="58" w:type="dxa"/>
            </w:tcMar>
          </w:tcPr>
          <w:p w14:paraId="094F70CC"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Right Stria Terminalis/Fornix (QA)</w:t>
            </w:r>
          </w:p>
        </w:tc>
        <w:tc>
          <w:tcPr>
            <w:tcW w:w="216" w:type="dxa"/>
            <w:tcBorders>
              <w:top w:val="nil"/>
              <w:left w:val="nil"/>
              <w:bottom w:val="nil"/>
              <w:right w:val="nil"/>
            </w:tcBorders>
            <w:tcMar>
              <w:left w:w="58" w:type="dxa"/>
              <w:right w:w="58" w:type="dxa"/>
            </w:tcMar>
          </w:tcPr>
          <w:p w14:paraId="47A6F729"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B64AA72"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0FEBCD5B"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431CBF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656992A6"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1E2BC9B1"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0E5478C"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6F67AD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8D32753"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57989536" w14:textId="77777777" w:rsidR="007371C5" w:rsidRPr="00C2676B" w:rsidRDefault="007371C5" w:rsidP="00356AA0">
            <w:pPr>
              <w:jc w:val="center"/>
              <w:rPr>
                <w:rFonts w:ascii="Times New Roman" w:hAnsi="Times New Roman" w:cs="Times New Roman"/>
              </w:rPr>
            </w:pPr>
          </w:p>
        </w:tc>
      </w:tr>
      <w:tr w:rsidR="007371C5" w:rsidRPr="00C2676B" w14:paraId="15BE2FE2" w14:textId="77777777" w:rsidTr="00356AA0">
        <w:tc>
          <w:tcPr>
            <w:tcW w:w="3380" w:type="dxa"/>
            <w:tcBorders>
              <w:top w:val="single" w:sz="4" w:space="0" w:color="auto"/>
              <w:bottom w:val="nil"/>
              <w:right w:val="nil"/>
            </w:tcBorders>
            <w:tcMar>
              <w:left w:w="58" w:type="dxa"/>
              <w:right w:w="58" w:type="dxa"/>
            </w:tcMar>
          </w:tcPr>
          <w:p w14:paraId="24B2AB29"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Overall Model</w:t>
            </w:r>
          </w:p>
        </w:tc>
        <w:tc>
          <w:tcPr>
            <w:tcW w:w="216" w:type="dxa"/>
            <w:tcBorders>
              <w:top w:val="nil"/>
              <w:left w:val="nil"/>
              <w:bottom w:val="nil"/>
              <w:right w:val="nil"/>
            </w:tcBorders>
            <w:tcMar>
              <w:left w:w="58" w:type="dxa"/>
              <w:right w:w="58" w:type="dxa"/>
            </w:tcMar>
          </w:tcPr>
          <w:p w14:paraId="755D15A3"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F1414F0"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8.40</w:t>
            </w:r>
          </w:p>
        </w:tc>
        <w:tc>
          <w:tcPr>
            <w:tcW w:w="216" w:type="dxa"/>
            <w:tcBorders>
              <w:top w:val="nil"/>
              <w:left w:val="nil"/>
              <w:bottom w:val="nil"/>
              <w:right w:val="nil"/>
            </w:tcBorders>
            <w:tcMar>
              <w:left w:w="58" w:type="dxa"/>
              <w:right w:w="58" w:type="dxa"/>
            </w:tcMar>
          </w:tcPr>
          <w:p w14:paraId="1074057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E019A1D"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&lt; 0.001*</w:t>
            </w:r>
          </w:p>
        </w:tc>
        <w:tc>
          <w:tcPr>
            <w:tcW w:w="216" w:type="dxa"/>
            <w:tcBorders>
              <w:top w:val="nil"/>
              <w:left w:val="nil"/>
              <w:bottom w:val="nil"/>
              <w:right w:val="nil"/>
            </w:tcBorders>
            <w:tcMar>
              <w:left w:w="58" w:type="dxa"/>
              <w:right w:w="58" w:type="dxa"/>
            </w:tcMar>
          </w:tcPr>
          <w:p w14:paraId="2E82311D"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53A2F29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2D404DAA"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6F033F3"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805A5CE"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2BB68FFA" w14:textId="77777777" w:rsidR="007371C5" w:rsidRPr="00C2676B" w:rsidRDefault="007371C5" w:rsidP="00356AA0">
            <w:pPr>
              <w:jc w:val="center"/>
              <w:rPr>
                <w:rFonts w:ascii="Times New Roman" w:hAnsi="Times New Roman" w:cs="Times New Roman"/>
              </w:rPr>
            </w:pPr>
          </w:p>
        </w:tc>
      </w:tr>
      <w:tr w:rsidR="007371C5" w:rsidRPr="00C2676B" w14:paraId="4F1307D7" w14:textId="77777777" w:rsidTr="00356AA0">
        <w:tc>
          <w:tcPr>
            <w:tcW w:w="3380" w:type="dxa"/>
            <w:tcBorders>
              <w:top w:val="nil"/>
              <w:bottom w:val="nil"/>
              <w:right w:val="nil"/>
            </w:tcBorders>
            <w:tcMar>
              <w:left w:w="58" w:type="dxa"/>
              <w:right w:w="58" w:type="dxa"/>
            </w:tcMar>
          </w:tcPr>
          <w:p w14:paraId="3C3F9E35"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Neighborhood disadvantage</w:t>
            </w:r>
          </w:p>
        </w:tc>
        <w:tc>
          <w:tcPr>
            <w:tcW w:w="216" w:type="dxa"/>
            <w:tcBorders>
              <w:top w:val="nil"/>
              <w:left w:val="nil"/>
              <w:bottom w:val="nil"/>
              <w:right w:val="nil"/>
            </w:tcBorders>
            <w:tcMar>
              <w:left w:w="58" w:type="dxa"/>
              <w:right w:w="58" w:type="dxa"/>
            </w:tcMar>
          </w:tcPr>
          <w:p w14:paraId="6FA53E6D"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3158E05F"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9A47142"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499B529"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7C7CAF9"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56C28DA5"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-0.181</w:t>
            </w:r>
          </w:p>
        </w:tc>
        <w:tc>
          <w:tcPr>
            <w:tcW w:w="216" w:type="dxa"/>
            <w:tcBorders>
              <w:top w:val="nil"/>
              <w:left w:val="nil"/>
              <w:bottom w:val="nil"/>
              <w:right w:val="nil"/>
            </w:tcBorders>
            <w:tcMar>
              <w:left w:w="58" w:type="dxa"/>
              <w:right w:w="58" w:type="dxa"/>
            </w:tcMar>
          </w:tcPr>
          <w:p w14:paraId="00C0CEF5"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7FD04293"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-2.86</w:t>
            </w:r>
          </w:p>
        </w:tc>
        <w:tc>
          <w:tcPr>
            <w:tcW w:w="216" w:type="dxa"/>
            <w:tcBorders>
              <w:top w:val="nil"/>
              <w:left w:val="nil"/>
              <w:bottom w:val="nil"/>
              <w:right w:val="nil"/>
            </w:tcBorders>
            <w:tcMar>
              <w:left w:w="58" w:type="dxa"/>
              <w:right w:w="58" w:type="dxa"/>
            </w:tcMar>
          </w:tcPr>
          <w:p w14:paraId="7396FCBC"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026A9CEE"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0.005</w:t>
            </w:r>
          </w:p>
        </w:tc>
      </w:tr>
      <w:tr w:rsidR="007371C5" w:rsidRPr="00C2676B" w14:paraId="3C744723" w14:textId="77777777" w:rsidTr="00356AA0">
        <w:tc>
          <w:tcPr>
            <w:tcW w:w="3380" w:type="dxa"/>
            <w:tcBorders>
              <w:top w:val="nil"/>
              <w:bottom w:val="nil"/>
              <w:right w:val="nil"/>
            </w:tcBorders>
            <w:tcMar>
              <w:left w:w="58" w:type="dxa"/>
              <w:right w:w="58" w:type="dxa"/>
            </w:tcMar>
          </w:tcPr>
          <w:p w14:paraId="2820917C" w14:textId="77777777" w:rsidR="007371C5" w:rsidRPr="00C2676B" w:rsidRDefault="007371C5" w:rsidP="00356AA0">
            <w:pPr>
              <w:jc w:val="right"/>
              <w:rPr>
                <w:rFonts w:ascii="Times New Roman" w:hAnsi="Times New Roman" w:cs="Times New Roman"/>
              </w:rPr>
            </w:pPr>
            <w:r w:rsidRPr="00C2676B">
              <w:rPr>
                <w:rFonts w:ascii="Times New Roman" w:hAnsi="Times New Roman" w:cs="Times New Roman"/>
              </w:rPr>
              <w:t>Violence exposure</w:t>
            </w:r>
          </w:p>
        </w:tc>
        <w:tc>
          <w:tcPr>
            <w:tcW w:w="216" w:type="dxa"/>
            <w:tcBorders>
              <w:top w:val="nil"/>
              <w:left w:val="nil"/>
              <w:bottom w:val="nil"/>
              <w:right w:val="nil"/>
            </w:tcBorders>
            <w:tcMar>
              <w:left w:w="58" w:type="dxa"/>
              <w:right w:w="58" w:type="dxa"/>
            </w:tcMar>
          </w:tcPr>
          <w:p w14:paraId="047A0C61"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59399FE8"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12B869BD"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47BD4510"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30F42A4"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3B7C6086"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-0.060</w:t>
            </w:r>
          </w:p>
        </w:tc>
        <w:tc>
          <w:tcPr>
            <w:tcW w:w="216" w:type="dxa"/>
            <w:tcBorders>
              <w:top w:val="nil"/>
              <w:left w:val="nil"/>
              <w:bottom w:val="nil"/>
              <w:right w:val="nil"/>
            </w:tcBorders>
            <w:tcMar>
              <w:left w:w="58" w:type="dxa"/>
              <w:right w:w="58" w:type="dxa"/>
            </w:tcMar>
          </w:tcPr>
          <w:p w14:paraId="2D8FD171"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0162B0F3"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-0.938</w:t>
            </w:r>
          </w:p>
        </w:tc>
        <w:tc>
          <w:tcPr>
            <w:tcW w:w="216" w:type="dxa"/>
            <w:tcBorders>
              <w:top w:val="nil"/>
              <w:left w:val="nil"/>
              <w:bottom w:val="nil"/>
              <w:right w:val="nil"/>
            </w:tcBorders>
            <w:tcMar>
              <w:left w:w="58" w:type="dxa"/>
              <w:right w:w="58" w:type="dxa"/>
            </w:tcMar>
          </w:tcPr>
          <w:p w14:paraId="422B0609"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0793641C" w14:textId="77777777" w:rsidR="007371C5" w:rsidRPr="00C2676B" w:rsidRDefault="007371C5" w:rsidP="00356AA0">
            <w:pPr>
              <w:jc w:val="center"/>
              <w:rPr>
                <w:rFonts w:ascii="Times New Roman" w:hAnsi="Times New Roman" w:cs="Times New Roman"/>
              </w:rPr>
            </w:pPr>
            <w:r w:rsidRPr="00C2676B">
              <w:rPr>
                <w:rFonts w:ascii="Times New Roman" w:hAnsi="Times New Roman" w:cs="Times New Roman"/>
              </w:rPr>
              <w:t>0.349</w:t>
            </w:r>
          </w:p>
        </w:tc>
      </w:tr>
      <w:tr w:rsidR="007371C5" w:rsidRPr="00C2676B" w14:paraId="658EA3C8" w14:textId="77777777" w:rsidTr="00356AA0">
        <w:tc>
          <w:tcPr>
            <w:tcW w:w="3380" w:type="dxa"/>
            <w:tcBorders>
              <w:top w:val="nil"/>
              <w:bottom w:val="nil"/>
              <w:right w:val="nil"/>
            </w:tcBorders>
            <w:tcMar>
              <w:left w:w="58" w:type="dxa"/>
              <w:right w:w="58" w:type="dxa"/>
            </w:tcMar>
          </w:tcPr>
          <w:p w14:paraId="53D9CFB2" w14:textId="77777777" w:rsidR="007371C5" w:rsidRPr="00C2676B" w:rsidRDefault="007371C5" w:rsidP="00356AA0">
            <w:pPr>
              <w:jc w:val="right"/>
              <w:rPr>
                <w:rFonts w:ascii="Times New Roman" w:hAnsi="Times New Roman" w:cs="Times New Roman"/>
              </w:rPr>
            </w:pPr>
          </w:p>
        </w:tc>
        <w:tc>
          <w:tcPr>
            <w:tcW w:w="216" w:type="dxa"/>
            <w:tcBorders>
              <w:top w:val="nil"/>
              <w:left w:val="nil"/>
              <w:bottom w:val="nil"/>
              <w:right w:val="nil"/>
            </w:tcBorders>
            <w:tcMar>
              <w:left w:w="58" w:type="dxa"/>
              <w:right w:w="58" w:type="dxa"/>
            </w:tcMar>
          </w:tcPr>
          <w:p w14:paraId="6601D287" w14:textId="77777777" w:rsidR="007371C5" w:rsidRPr="00C2676B" w:rsidRDefault="007371C5" w:rsidP="00356AA0">
            <w:pP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EF67056"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7F4097A3"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6C0646EB"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7DB8534" w14:textId="77777777" w:rsidR="007371C5" w:rsidRPr="00C2676B" w:rsidRDefault="007371C5" w:rsidP="00356AA0">
            <w:pPr>
              <w:jc w:val="center"/>
              <w:rPr>
                <w:rFonts w:ascii="Times New Roman" w:hAnsi="Times New Roman" w:cs="Times New Roman"/>
              </w:rPr>
            </w:pPr>
          </w:p>
        </w:tc>
        <w:tc>
          <w:tcPr>
            <w:tcW w:w="864" w:type="dxa"/>
            <w:tcBorders>
              <w:top w:val="nil"/>
              <w:left w:val="nil"/>
              <w:bottom w:val="nil"/>
              <w:right w:val="nil"/>
            </w:tcBorders>
            <w:tcMar>
              <w:left w:w="58" w:type="dxa"/>
              <w:right w:w="58" w:type="dxa"/>
            </w:tcMar>
          </w:tcPr>
          <w:p w14:paraId="4B920204"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3B644366" w14:textId="77777777" w:rsidR="007371C5" w:rsidRPr="00C2676B" w:rsidRDefault="007371C5" w:rsidP="00356AA0">
            <w:pPr>
              <w:jc w:val="center"/>
              <w:rPr>
                <w:rFonts w:ascii="Times New Roman" w:hAnsi="Times New Roman" w:cs="Times New Roman"/>
              </w:rPr>
            </w:pPr>
          </w:p>
        </w:tc>
        <w:tc>
          <w:tcPr>
            <w:tcW w:w="1080" w:type="dxa"/>
            <w:tcBorders>
              <w:top w:val="nil"/>
              <w:left w:val="nil"/>
              <w:bottom w:val="nil"/>
              <w:right w:val="nil"/>
            </w:tcBorders>
            <w:tcMar>
              <w:left w:w="58" w:type="dxa"/>
              <w:right w:w="58" w:type="dxa"/>
            </w:tcMar>
          </w:tcPr>
          <w:p w14:paraId="107A61C5" w14:textId="77777777" w:rsidR="007371C5" w:rsidRPr="00C2676B" w:rsidRDefault="007371C5" w:rsidP="00356AA0">
            <w:pPr>
              <w:jc w:val="center"/>
              <w:rPr>
                <w:rFonts w:ascii="Times New Roman" w:hAnsi="Times New Roman" w:cs="Times New Roman"/>
              </w:rPr>
            </w:pPr>
          </w:p>
        </w:tc>
        <w:tc>
          <w:tcPr>
            <w:tcW w:w="216" w:type="dxa"/>
            <w:tcBorders>
              <w:top w:val="nil"/>
              <w:left w:val="nil"/>
              <w:bottom w:val="nil"/>
              <w:right w:val="nil"/>
            </w:tcBorders>
            <w:tcMar>
              <w:left w:w="58" w:type="dxa"/>
              <w:right w:w="58" w:type="dxa"/>
            </w:tcMar>
          </w:tcPr>
          <w:p w14:paraId="42058182" w14:textId="77777777" w:rsidR="007371C5" w:rsidRPr="00C2676B" w:rsidRDefault="007371C5" w:rsidP="00356AA0">
            <w:pPr>
              <w:jc w:val="center"/>
              <w:rPr>
                <w:rFonts w:ascii="Times New Roman" w:hAnsi="Times New Roman" w:cs="Times New Roman"/>
              </w:rPr>
            </w:pPr>
          </w:p>
        </w:tc>
        <w:tc>
          <w:tcPr>
            <w:tcW w:w="1080" w:type="dxa"/>
            <w:gridSpan w:val="2"/>
            <w:tcBorders>
              <w:top w:val="nil"/>
              <w:left w:val="nil"/>
              <w:bottom w:val="nil"/>
            </w:tcBorders>
            <w:tcMar>
              <w:left w:w="58" w:type="dxa"/>
              <w:right w:w="58" w:type="dxa"/>
            </w:tcMar>
          </w:tcPr>
          <w:p w14:paraId="684621E1" w14:textId="77777777" w:rsidR="007371C5" w:rsidRPr="00C2676B" w:rsidRDefault="007371C5" w:rsidP="00356AA0">
            <w:pPr>
              <w:jc w:val="center"/>
              <w:rPr>
                <w:rFonts w:ascii="Times New Roman" w:hAnsi="Times New Roman" w:cs="Times New Roman"/>
              </w:rPr>
            </w:pPr>
          </w:p>
        </w:tc>
      </w:tr>
      <w:tr w:rsidR="007371C5" w:rsidRPr="00C2676B" w14:paraId="7E48D222" w14:textId="77777777" w:rsidTr="00356AA0">
        <w:trPr>
          <w:gridAfter w:val="1"/>
          <w:wAfter w:w="14" w:type="dxa"/>
        </w:trPr>
        <w:tc>
          <w:tcPr>
            <w:tcW w:w="9630" w:type="dxa"/>
            <w:gridSpan w:val="11"/>
            <w:tcBorders>
              <w:top w:val="single" w:sz="4" w:space="0" w:color="auto"/>
            </w:tcBorders>
            <w:tcMar>
              <w:left w:w="58" w:type="dxa"/>
              <w:right w:w="58" w:type="dxa"/>
            </w:tcMar>
          </w:tcPr>
          <w:p w14:paraId="2C2E10D7" w14:textId="77777777" w:rsidR="007371C5" w:rsidRPr="00C2676B" w:rsidRDefault="007371C5" w:rsidP="00356AA0">
            <w:pPr>
              <w:rPr>
                <w:rFonts w:ascii="Times New Roman" w:hAnsi="Times New Roman" w:cs="Times New Roman"/>
                <w:strike/>
              </w:rPr>
            </w:pPr>
            <w:r w:rsidRPr="00C2676B">
              <w:rPr>
                <w:rFonts w:ascii="Times New Roman" w:hAnsi="Times New Roman" w:cs="Times New Roman"/>
                <w:i/>
              </w:rPr>
              <w:t>Note</w:t>
            </w:r>
            <w:r w:rsidRPr="00C2676B">
              <w:rPr>
                <w:rFonts w:ascii="Times New Roman" w:hAnsi="Times New Roman" w:cs="Times New Roman"/>
              </w:rPr>
              <w:t xml:space="preserve">: Primary analysis results: linear regressions predicting quantitative anisotropy (QA) from neighborhood disadvantage and violence exposure.  F-statistics indicate the significance of each overall model. Standardized beta values are presented. Cingulum bundle n = 300, Uncinate fasciculus n = 278, Stria terminalis/fornix n = 243. </w:t>
            </w:r>
          </w:p>
        </w:tc>
      </w:tr>
    </w:tbl>
    <w:p w14:paraId="38750A04" w14:textId="77777777" w:rsidR="007371C5" w:rsidRDefault="007371C5">
      <w:pPr>
        <w:rPr>
          <w:rFonts w:ascii="Times New Roman" w:hAnsi="Times New Roman" w:cs="Times New Roman"/>
          <w:b/>
          <w:bCs/>
        </w:rPr>
      </w:pPr>
    </w:p>
    <w:p w14:paraId="4AFB1D77" w14:textId="31AF985E" w:rsidR="007371C5" w:rsidRDefault="007371C5">
      <w:pPr>
        <w:rPr>
          <w:rFonts w:ascii="Times New Roman" w:hAnsi="Times New Roman" w:cs="Times New Roman"/>
          <w:b/>
          <w:bCs/>
        </w:rPr>
      </w:pPr>
      <w:r>
        <w:rPr>
          <w:rFonts w:ascii="Times New Roman" w:hAnsi="Times New Roman" w:cs="Times New Roman"/>
          <w:b/>
          <w:bCs/>
        </w:rPr>
        <w:br w:type="page"/>
      </w:r>
    </w:p>
    <w:p w14:paraId="6BB20A4C" w14:textId="77777777" w:rsidR="007371C5" w:rsidRDefault="007371C5">
      <w:pPr>
        <w:rPr>
          <w:rFonts w:ascii="Times New Roman" w:hAnsi="Times New Roman" w:cs="Times New Roman"/>
          <w:b/>
          <w:bCs/>
        </w:rPr>
      </w:pPr>
    </w:p>
    <w:tbl>
      <w:tblPr>
        <w:tblStyle w:val="TableGrid"/>
        <w:tblW w:w="9735" w:type="dxa"/>
        <w:tblBorders>
          <w:top w:val="none" w:sz="0" w:space="0" w:color="auto"/>
          <w:left w:val="none" w:sz="0" w:space="0" w:color="auto"/>
          <w:bottom w:val="none" w:sz="0" w:space="0" w:color="auto"/>
          <w:right w:val="none" w:sz="0" w:space="0" w:color="auto"/>
        </w:tblBorders>
        <w:tblLayout w:type="fixed"/>
        <w:tblCellMar>
          <w:left w:w="58" w:type="dxa"/>
          <w:right w:w="58" w:type="dxa"/>
        </w:tblCellMar>
        <w:tblLook w:val="04A0" w:firstRow="1" w:lastRow="0" w:firstColumn="1" w:lastColumn="0" w:noHBand="0" w:noVBand="1"/>
      </w:tblPr>
      <w:tblGrid>
        <w:gridCol w:w="3165"/>
        <w:gridCol w:w="216"/>
        <w:gridCol w:w="1080"/>
        <w:gridCol w:w="216"/>
        <w:gridCol w:w="1080"/>
        <w:gridCol w:w="216"/>
        <w:gridCol w:w="864"/>
        <w:gridCol w:w="216"/>
        <w:gridCol w:w="1368"/>
        <w:gridCol w:w="216"/>
        <w:gridCol w:w="1080"/>
        <w:gridCol w:w="18"/>
      </w:tblGrid>
      <w:tr w:rsidR="007371C5" w:rsidRPr="00C2676B" w14:paraId="3195CCD1" w14:textId="77777777" w:rsidTr="00356AA0">
        <w:tc>
          <w:tcPr>
            <w:tcW w:w="9735" w:type="dxa"/>
            <w:gridSpan w:val="12"/>
            <w:tcBorders>
              <w:bottom w:val="single" w:sz="4" w:space="0" w:color="auto"/>
            </w:tcBorders>
            <w:tcMar>
              <w:left w:w="58" w:type="dxa"/>
              <w:right w:w="58" w:type="dxa"/>
            </w:tcMar>
          </w:tcPr>
          <w:p w14:paraId="51652DAB" w14:textId="77777777" w:rsidR="007371C5" w:rsidRPr="00C2676B" w:rsidRDefault="007371C5" w:rsidP="00356AA0">
            <w:pPr>
              <w:rPr>
                <w:rFonts w:ascii="Times New Roman" w:hAnsi="Times New Roman" w:cs="Times New Roman"/>
                <w:sz w:val="21"/>
                <w:szCs w:val="21"/>
              </w:rPr>
            </w:pPr>
            <w:r>
              <w:rPr>
                <w:rFonts w:ascii="Times New Roman" w:hAnsi="Times New Roman" w:cs="Times New Roman"/>
                <w:sz w:val="21"/>
                <w:szCs w:val="21"/>
              </w:rPr>
              <w:t xml:space="preserve">Supplementary </w:t>
            </w:r>
            <w:r w:rsidRPr="00C2676B">
              <w:rPr>
                <w:rFonts w:ascii="Times New Roman" w:hAnsi="Times New Roman" w:cs="Times New Roman"/>
                <w:sz w:val="21"/>
                <w:szCs w:val="21"/>
              </w:rPr>
              <w:t xml:space="preserve">Table </w:t>
            </w:r>
            <w:r>
              <w:rPr>
                <w:rFonts w:ascii="Times New Roman" w:hAnsi="Times New Roman" w:cs="Times New Roman"/>
                <w:sz w:val="21"/>
                <w:szCs w:val="21"/>
              </w:rPr>
              <w:t>S2</w:t>
            </w:r>
            <w:r w:rsidRPr="00C2676B">
              <w:rPr>
                <w:rFonts w:ascii="Times New Roman" w:hAnsi="Times New Roman" w:cs="Times New Roman"/>
                <w:sz w:val="21"/>
                <w:szCs w:val="21"/>
              </w:rPr>
              <w:t xml:space="preserve">. Results of </w:t>
            </w:r>
            <w:r>
              <w:rPr>
                <w:rFonts w:ascii="Times New Roman" w:hAnsi="Times New Roman" w:cs="Times New Roman"/>
                <w:sz w:val="21"/>
                <w:szCs w:val="21"/>
              </w:rPr>
              <w:t>regressions</w:t>
            </w:r>
            <w:r w:rsidRPr="00C2676B">
              <w:rPr>
                <w:rFonts w:ascii="Times New Roman" w:hAnsi="Times New Roman" w:cs="Times New Roman"/>
                <w:sz w:val="21"/>
                <w:szCs w:val="21"/>
              </w:rPr>
              <w:t xml:space="preserve"> predicting QA from family income and violence exposure</w:t>
            </w:r>
            <w:r>
              <w:rPr>
                <w:rFonts w:ascii="Times New Roman" w:hAnsi="Times New Roman" w:cs="Times New Roman"/>
                <w:sz w:val="21"/>
                <w:szCs w:val="21"/>
              </w:rPr>
              <w:t xml:space="preserve"> for six tracts</w:t>
            </w:r>
          </w:p>
        </w:tc>
      </w:tr>
      <w:tr w:rsidR="007371C5" w:rsidRPr="00C2676B" w14:paraId="1C98B0B6"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5ADF43A4" w14:textId="77777777" w:rsidR="007371C5" w:rsidRPr="00C2676B" w:rsidRDefault="007371C5" w:rsidP="00356AA0">
            <w:pPr>
              <w:rPr>
                <w:rFonts w:ascii="Times New Roman" w:hAnsi="Times New Roman" w:cs="Times New Roman"/>
                <w:sz w:val="21"/>
                <w:szCs w:val="21"/>
              </w:rPr>
            </w:pPr>
          </w:p>
        </w:tc>
        <w:tc>
          <w:tcPr>
            <w:tcW w:w="216" w:type="dxa"/>
            <w:tcBorders>
              <w:top w:val="single" w:sz="4" w:space="0" w:color="auto"/>
              <w:left w:val="nil"/>
              <w:bottom w:val="nil"/>
              <w:right w:val="nil"/>
            </w:tcBorders>
            <w:tcMar>
              <w:left w:w="58" w:type="dxa"/>
              <w:right w:w="58" w:type="dxa"/>
            </w:tcMar>
          </w:tcPr>
          <w:p w14:paraId="4232E2FD" w14:textId="77777777" w:rsidR="007371C5" w:rsidRPr="00C2676B" w:rsidRDefault="007371C5" w:rsidP="00356AA0">
            <w:pPr>
              <w:rPr>
                <w:rFonts w:ascii="Times New Roman" w:hAnsi="Times New Roman" w:cs="Times New Roman"/>
                <w:sz w:val="21"/>
                <w:szCs w:val="21"/>
              </w:rPr>
            </w:pPr>
          </w:p>
        </w:tc>
        <w:tc>
          <w:tcPr>
            <w:tcW w:w="1080" w:type="dxa"/>
            <w:tcBorders>
              <w:top w:val="single" w:sz="4" w:space="0" w:color="auto"/>
              <w:left w:val="nil"/>
              <w:bottom w:val="single" w:sz="4" w:space="0" w:color="auto"/>
              <w:right w:val="nil"/>
            </w:tcBorders>
            <w:tcMar>
              <w:left w:w="58" w:type="dxa"/>
              <w:right w:w="58" w:type="dxa"/>
            </w:tcMar>
          </w:tcPr>
          <w:p w14:paraId="353AD9C7"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F-statistic</w:t>
            </w:r>
          </w:p>
        </w:tc>
        <w:tc>
          <w:tcPr>
            <w:tcW w:w="216" w:type="dxa"/>
            <w:tcBorders>
              <w:top w:val="single" w:sz="4" w:space="0" w:color="auto"/>
              <w:left w:val="nil"/>
              <w:bottom w:val="nil"/>
              <w:right w:val="nil"/>
            </w:tcBorders>
            <w:tcMar>
              <w:left w:w="58" w:type="dxa"/>
              <w:right w:w="58" w:type="dxa"/>
            </w:tcMar>
          </w:tcPr>
          <w:p w14:paraId="2DC18747" w14:textId="77777777" w:rsidR="007371C5" w:rsidRPr="00C2676B" w:rsidRDefault="007371C5" w:rsidP="00356AA0">
            <w:pPr>
              <w:jc w:val="center"/>
              <w:rPr>
                <w:rFonts w:ascii="Times New Roman" w:hAnsi="Times New Roman" w:cs="Times New Roman"/>
                <w:sz w:val="21"/>
                <w:szCs w:val="21"/>
              </w:rPr>
            </w:pPr>
          </w:p>
        </w:tc>
        <w:tc>
          <w:tcPr>
            <w:tcW w:w="1080" w:type="dxa"/>
            <w:tcBorders>
              <w:top w:val="single" w:sz="4" w:space="0" w:color="auto"/>
              <w:left w:val="nil"/>
              <w:bottom w:val="single" w:sz="4" w:space="0" w:color="auto"/>
              <w:right w:val="nil"/>
            </w:tcBorders>
          </w:tcPr>
          <w:p w14:paraId="746F7C6A"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i/>
                <w:iCs/>
                <w:sz w:val="21"/>
                <w:szCs w:val="21"/>
              </w:rPr>
              <w:t>p</w:t>
            </w:r>
            <w:r w:rsidRPr="00C2676B">
              <w:rPr>
                <w:rFonts w:ascii="Times New Roman" w:hAnsi="Times New Roman" w:cs="Times New Roman"/>
                <w:sz w:val="21"/>
                <w:szCs w:val="21"/>
              </w:rPr>
              <w:t>-value</w:t>
            </w:r>
          </w:p>
        </w:tc>
        <w:tc>
          <w:tcPr>
            <w:tcW w:w="216" w:type="dxa"/>
            <w:tcBorders>
              <w:top w:val="single" w:sz="4" w:space="0" w:color="auto"/>
              <w:left w:val="nil"/>
              <w:bottom w:val="nil"/>
              <w:right w:val="nil"/>
            </w:tcBorders>
          </w:tcPr>
          <w:p w14:paraId="7404F59A" w14:textId="77777777" w:rsidR="007371C5" w:rsidRPr="00C2676B" w:rsidRDefault="007371C5" w:rsidP="00356AA0">
            <w:pPr>
              <w:jc w:val="center"/>
              <w:rPr>
                <w:rFonts w:ascii="Times New Roman" w:hAnsi="Times New Roman" w:cs="Times New Roman"/>
                <w:sz w:val="21"/>
                <w:szCs w:val="21"/>
              </w:rPr>
            </w:pPr>
          </w:p>
        </w:tc>
        <w:tc>
          <w:tcPr>
            <w:tcW w:w="864" w:type="dxa"/>
            <w:tcBorders>
              <w:top w:val="single" w:sz="4" w:space="0" w:color="auto"/>
              <w:left w:val="nil"/>
              <w:bottom w:val="single" w:sz="4" w:space="0" w:color="auto"/>
              <w:right w:val="nil"/>
            </w:tcBorders>
            <w:tcMar>
              <w:left w:w="58" w:type="dxa"/>
              <w:right w:w="58" w:type="dxa"/>
            </w:tcMar>
          </w:tcPr>
          <w:p w14:paraId="7D4F01F6"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β</w:t>
            </w:r>
          </w:p>
        </w:tc>
        <w:tc>
          <w:tcPr>
            <w:tcW w:w="216" w:type="dxa"/>
            <w:tcBorders>
              <w:top w:val="single" w:sz="4" w:space="0" w:color="auto"/>
              <w:left w:val="nil"/>
              <w:bottom w:val="nil"/>
              <w:right w:val="nil"/>
            </w:tcBorders>
            <w:tcMar>
              <w:left w:w="58" w:type="dxa"/>
              <w:right w:w="58" w:type="dxa"/>
            </w:tcMar>
          </w:tcPr>
          <w:p w14:paraId="5B0B45A8" w14:textId="77777777" w:rsidR="007371C5" w:rsidRPr="00C2676B" w:rsidRDefault="007371C5" w:rsidP="00356AA0">
            <w:pPr>
              <w:jc w:val="center"/>
              <w:rPr>
                <w:rFonts w:ascii="Times New Roman" w:hAnsi="Times New Roman" w:cs="Times New Roman"/>
                <w:sz w:val="21"/>
                <w:szCs w:val="21"/>
              </w:rPr>
            </w:pPr>
          </w:p>
        </w:tc>
        <w:tc>
          <w:tcPr>
            <w:tcW w:w="1368" w:type="dxa"/>
            <w:tcBorders>
              <w:top w:val="single" w:sz="4" w:space="0" w:color="auto"/>
              <w:left w:val="nil"/>
              <w:bottom w:val="single" w:sz="4" w:space="0" w:color="auto"/>
              <w:right w:val="nil"/>
            </w:tcBorders>
            <w:tcMar>
              <w:left w:w="58" w:type="dxa"/>
              <w:right w:w="58" w:type="dxa"/>
            </w:tcMar>
          </w:tcPr>
          <w:p w14:paraId="5A7C31A5"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t-value</w:t>
            </w:r>
          </w:p>
        </w:tc>
        <w:tc>
          <w:tcPr>
            <w:tcW w:w="216" w:type="dxa"/>
            <w:tcBorders>
              <w:top w:val="single" w:sz="4" w:space="0" w:color="auto"/>
              <w:left w:val="nil"/>
              <w:bottom w:val="nil"/>
              <w:right w:val="nil"/>
            </w:tcBorders>
          </w:tcPr>
          <w:p w14:paraId="69896B31" w14:textId="77777777" w:rsidR="007371C5" w:rsidRPr="00C2676B" w:rsidRDefault="007371C5" w:rsidP="00356AA0">
            <w:pPr>
              <w:jc w:val="center"/>
              <w:rPr>
                <w:rFonts w:ascii="Times New Roman" w:hAnsi="Times New Roman" w:cs="Times New Roman"/>
                <w:sz w:val="21"/>
                <w:szCs w:val="21"/>
              </w:rPr>
            </w:pPr>
          </w:p>
        </w:tc>
        <w:tc>
          <w:tcPr>
            <w:tcW w:w="1080" w:type="dxa"/>
            <w:tcBorders>
              <w:top w:val="single" w:sz="4" w:space="0" w:color="auto"/>
              <w:left w:val="nil"/>
              <w:bottom w:val="single" w:sz="4" w:space="0" w:color="auto"/>
            </w:tcBorders>
          </w:tcPr>
          <w:p w14:paraId="57E2385A"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i/>
                <w:iCs/>
                <w:sz w:val="21"/>
                <w:szCs w:val="21"/>
              </w:rPr>
              <w:t>p</w:t>
            </w:r>
            <w:r w:rsidRPr="00C2676B">
              <w:rPr>
                <w:rFonts w:ascii="Times New Roman" w:hAnsi="Times New Roman" w:cs="Times New Roman"/>
                <w:sz w:val="21"/>
                <w:szCs w:val="21"/>
              </w:rPr>
              <w:t>-value</w:t>
            </w:r>
          </w:p>
        </w:tc>
      </w:tr>
      <w:tr w:rsidR="007371C5" w:rsidRPr="00C2676B" w14:paraId="46E04334" w14:textId="77777777" w:rsidTr="00356AA0">
        <w:trPr>
          <w:gridAfter w:val="1"/>
          <w:wAfter w:w="18" w:type="dxa"/>
        </w:trPr>
        <w:tc>
          <w:tcPr>
            <w:tcW w:w="3165" w:type="dxa"/>
            <w:tcBorders>
              <w:top w:val="nil"/>
              <w:bottom w:val="single" w:sz="4" w:space="0" w:color="auto"/>
              <w:right w:val="nil"/>
            </w:tcBorders>
            <w:tcMar>
              <w:left w:w="58" w:type="dxa"/>
              <w:right w:w="58" w:type="dxa"/>
            </w:tcMar>
          </w:tcPr>
          <w:p w14:paraId="28BFEBB1" w14:textId="77777777" w:rsidR="007371C5" w:rsidRPr="00C2676B" w:rsidRDefault="007371C5" w:rsidP="00356AA0">
            <w:pPr>
              <w:rPr>
                <w:rFonts w:ascii="Times New Roman" w:hAnsi="Times New Roman" w:cs="Times New Roman"/>
                <w:sz w:val="21"/>
                <w:szCs w:val="21"/>
              </w:rPr>
            </w:pPr>
            <w:r w:rsidRPr="00C2676B">
              <w:rPr>
                <w:rFonts w:ascii="Times New Roman" w:hAnsi="Times New Roman" w:cs="Times New Roman"/>
                <w:sz w:val="21"/>
                <w:szCs w:val="21"/>
              </w:rPr>
              <w:t>Left Cingulum Bundle (QA)</w:t>
            </w:r>
          </w:p>
        </w:tc>
        <w:tc>
          <w:tcPr>
            <w:tcW w:w="216" w:type="dxa"/>
            <w:tcBorders>
              <w:top w:val="nil"/>
              <w:left w:val="nil"/>
              <w:bottom w:val="nil"/>
              <w:right w:val="nil"/>
            </w:tcBorders>
            <w:tcMar>
              <w:left w:w="58" w:type="dxa"/>
              <w:right w:w="58" w:type="dxa"/>
            </w:tcMar>
          </w:tcPr>
          <w:p w14:paraId="65C1BA44"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5413C22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50C5140"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1495BA20"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F12281A"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06995C6B"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447B28B9"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43D60F5B"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06180136"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61F31E5A" w14:textId="77777777" w:rsidR="007371C5" w:rsidRPr="00C2676B" w:rsidRDefault="007371C5" w:rsidP="00356AA0">
            <w:pPr>
              <w:jc w:val="center"/>
              <w:rPr>
                <w:rFonts w:ascii="Times New Roman" w:hAnsi="Times New Roman" w:cs="Times New Roman"/>
                <w:sz w:val="21"/>
                <w:szCs w:val="21"/>
              </w:rPr>
            </w:pPr>
          </w:p>
        </w:tc>
      </w:tr>
      <w:tr w:rsidR="007371C5" w:rsidRPr="00C2676B" w14:paraId="1808C6C4"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247EF9EF"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Overall Model</w:t>
            </w:r>
          </w:p>
        </w:tc>
        <w:tc>
          <w:tcPr>
            <w:tcW w:w="216" w:type="dxa"/>
            <w:tcBorders>
              <w:top w:val="nil"/>
              <w:left w:val="nil"/>
              <w:bottom w:val="nil"/>
              <w:right w:val="nil"/>
            </w:tcBorders>
            <w:tcMar>
              <w:left w:w="58" w:type="dxa"/>
              <w:right w:w="58" w:type="dxa"/>
            </w:tcMar>
          </w:tcPr>
          <w:p w14:paraId="364709B6"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5E4C5452"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22.21</w:t>
            </w:r>
          </w:p>
        </w:tc>
        <w:tc>
          <w:tcPr>
            <w:tcW w:w="216" w:type="dxa"/>
            <w:tcBorders>
              <w:top w:val="nil"/>
              <w:left w:val="nil"/>
              <w:bottom w:val="nil"/>
              <w:right w:val="nil"/>
            </w:tcBorders>
            <w:tcMar>
              <w:left w:w="58" w:type="dxa"/>
              <w:right w:w="58" w:type="dxa"/>
            </w:tcMar>
          </w:tcPr>
          <w:p w14:paraId="314BB96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4113DE83"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&lt; 0.001*</w:t>
            </w:r>
          </w:p>
        </w:tc>
        <w:tc>
          <w:tcPr>
            <w:tcW w:w="216" w:type="dxa"/>
            <w:tcBorders>
              <w:top w:val="nil"/>
              <w:left w:val="nil"/>
              <w:bottom w:val="nil"/>
              <w:right w:val="nil"/>
            </w:tcBorders>
          </w:tcPr>
          <w:p w14:paraId="324C0F5F"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2AF689C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4F115297"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669A51E1"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9441B9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4E2B363" w14:textId="77777777" w:rsidR="007371C5" w:rsidRPr="00C2676B" w:rsidRDefault="007371C5" w:rsidP="00356AA0">
            <w:pPr>
              <w:jc w:val="center"/>
              <w:rPr>
                <w:rFonts w:ascii="Times New Roman" w:hAnsi="Times New Roman" w:cs="Times New Roman"/>
                <w:sz w:val="21"/>
                <w:szCs w:val="21"/>
              </w:rPr>
            </w:pPr>
          </w:p>
        </w:tc>
      </w:tr>
      <w:tr w:rsidR="007371C5" w:rsidRPr="00C2676B" w14:paraId="341D77EA" w14:textId="77777777" w:rsidTr="00356AA0">
        <w:trPr>
          <w:gridAfter w:val="1"/>
          <w:wAfter w:w="18" w:type="dxa"/>
        </w:trPr>
        <w:tc>
          <w:tcPr>
            <w:tcW w:w="3165" w:type="dxa"/>
            <w:tcBorders>
              <w:top w:val="nil"/>
              <w:bottom w:val="nil"/>
              <w:right w:val="nil"/>
            </w:tcBorders>
            <w:tcMar>
              <w:left w:w="58" w:type="dxa"/>
              <w:right w:w="58" w:type="dxa"/>
            </w:tcMar>
          </w:tcPr>
          <w:p w14:paraId="23BE12F7"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Family income</w:t>
            </w:r>
          </w:p>
        </w:tc>
        <w:tc>
          <w:tcPr>
            <w:tcW w:w="216" w:type="dxa"/>
            <w:tcBorders>
              <w:top w:val="nil"/>
              <w:left w:val="nil"/>
              <w:bottom w:val="nil"/>
              <w:right w:val="nil"/>
            </w:tcBorders>
            <w:tcMar>
              <w:left w:w="58" w:type="dxa"/>
              <w:right w:w="58" w:type="dxa"/>
            </w:tcMar>
          </w:tcPr>
          <w:p w14:paraId="4DEA4554"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2F7278D0"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591A079"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4EC624C9"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227E2344"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5C1B9EED"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0.140</w:t>
            </w:r>
          </w:p>
        </w:tc>
        <w:tc>
          <w:tcPr>
            <w:tcW w:w="216" w:type="dxa"/>
            <w:tcBorders>
              <w:top w:val="nil"/>
              <w:left w:val="nil"/>
              <w:bottom w:val="nil"/>
              <w:right w:val="nil"/>
            </w:tcBorders>
            <w:tcMar>
              <w:left w:w="58" w:type="dxa"/>
              <w:right w:w="58" w:type="dxa"/>
            </w:tcMar>
          </w:tcPr>
          <w:p w14:paraId="2AACBEEB"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40250886"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2.53</w:t>
            </w:r>
          </w:p>
        </w:tc>
        <w:tc>
          <w:tcPr>
            <w:tcW w:w="216" w:type="dxa"/>
            <w:tcBorders>
              <w:top w:val="nil"/>
              <w:left w:val="nil"/>
              <w:bottom w:val="nil"/>
              <w:right w:val="nil"/>
            </w:tcBorders>
          </w:tcPr>
          <w:p w14:paraId="67C4DDA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067791B5"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0.012</w:t>
            </w:r>
          </w:p>
        </w:tc>
      </w:tr>
      <w:tr w:rsidR="007371C5" w:rsidRPr="00C2676B" w14:paraId="12CDB152" w14:textId="77777777" w:rsidTr="00356AA0">
        <w:trPr>
          <w:gridAfter w:val="1"/>
          <w:wAfter w:w="18" w:type="dxa"/>
        </w:trPr>
        <w:tc>
          <w:tcPr>
            <w:tcW w:w="3165" w:type="dxa"/>
            <w:tcBorders>
              <w:top w:val="nil"/>
              <w:bottom w:val="nil"/>
              <w:right w:val="nil"/>
            </w:tcBorders>
            <w:tcMar>
              <w:left w:w="58" w:type="dxa"/>
              <w:right w:w="58" w:type="dxa"/>
            </w:tcMar>
          </w:tcPr>
          <w:p w14:paraId="698E1775"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Violence exposure</w:t>
            </w:r>
          </w:p>
        </w:tc>
        <w:tc>
          <w:tcPr>
            <w:tcW w:w="216" w:type="dxa"/>
            <w:tcBorders>
              <w:top w:val="nil"/>
              <w:left w:val="nil"/>
              <w:bottom w:val="nil"/>
              <w:right w:val="nil"/>
            </w:tcBorders>
            <w:tcMar>
              <w:left w:w="58" w:type="dxa"/>
              <w:right w:w="58" w:type="dxa"/>
            </w:tcMar>
          </w:tcPr>
          <w:p w14:paraId="0B26E057"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D790E3E"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82459E8"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0599FD0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F8C2CDC"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FA1ECC8"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-0.103</w:t>
            </w:r>
          </w:p>
        </w:tc>
        <w:tc>
          <w:tcPr>
            <w:tcW w:w="216" w:type="dxa"/>
            <w:tcBorders>
              <w:top w:val="nil"/>
              <w:left w:val="nil"/>
              <w:bottom w:val="nil"/>
              <w:right w:val="nil"/>
            </w:tcBorders>
            <w:tcMar>
              <w:left w:w="58" w:type="dxa"/>
              <w:right w:w="58" w:type="dxa"/>
            </w:tcMar>
          </w:tcPr>
          <w:p w14:paraId="42058E0C"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6A273095"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-1.81</w:t>
            </w:r>
          </w:p>
        </w:tc>
        <w:tc>
          <w:tcPr>
            <w:tcW w:w="216" w:type="dxa"/>
            <w:tcBorders>
              <w:top w:val="nil"/>
              <w:left w:val="nil"/>
              <w:bottom w:val="nil"/>
              <w:right w:val="nil"/>
            </w:tcBorders>
          </w:tcPr>
          <w:p w14:paraId="7C7FB63E"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4A7F5ADD"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0.071</w:t>
            </w:r>
          </w:p>
        </w:tc>
      </w:tr>
      <w:tr w:rsidR="007371C5" w:rsidRPr="00C2676B" w14:paraId="3A8E2EE2" w14:textId="77777777" w:rsidTr="00356AA0">
        <w:trPr>
          <w:gridAfter w:val="1"/>
          <w:wAfter w:w="18" w:type="dxa"/>
        </w:trPr>
        <w:tc>
          <w:tcPr>
            <w:tcW w:w="3165" w:type="dxa"/>
            <w:tcBorders>
              <w:top w:val="nil"/>
              <w:bottom w:val="nil"/>
              <w:right w:val="nil"/>
            </w:tcBorders>
            <w:tcMar>
              <w:left w:w="58" w:type="dxa"/>
              <w:right w:w="58" w:type="dxa"/>
            </w:tcMar>
          </w:tcPr>
          <w:p w14:paraId="781852E1" w14:textId="77777777" w:rsidR="007371C5" w:rsidRPr="00C2676B" w:rsidRDefault="007371C5" w:rsidP="00356AA0">
            <w:pP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8307580"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5618A1C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0A02B61F"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2511758A"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29D70467"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8D0B205"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394A320C"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6E6ED41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2CCB7F7A"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15E62E62" w14:textId="77777777" w:rsidR="007371C5" w:rsidRPr="00C2676B" w:rsidRDefault="007371C5" w:rsidP="00356AA0">
            <w:pPr>
              <w:jc w:val="center"/>
              <w:rPr>
                <w:rFonts w:ascii="Times New Roman" w:hAnsi="Times New Roman" w:cs="Times New Roman"/>
                <w:sz w:val="21"/>
                <w:szCs w:val="21"/>
              </w:rPr>
            </w:pPr>
          </w:p>
        </w:tc>
      </w:tr>
      <w:tr w:rsidR="007371C5" w:rsidRPr="00C2676B" w14:paraId="3B94A455" w14:textId="77777777" w:rsidTr="00356AA0">
        <w:trPr>
          <w:gridAfter w:val="1"/>
          <w:wAfter w:w="18" w:type="dxa"/>
        </w:trPr>
        <w:tc>
          <w:tcPr>
            <w:tcW w:w="3165" w:type="dxa"/>
            <w:tcBorders>
              <w:top w:val="nil"/>
              <w:bottom w:val="single" w:sz="4" w:space="0" w:color="auto"/>
              <w:right w:val="nil"/>
            </w:tcBorders>
            <w:tcMar>
              <w:left w:w="58" w:type="dxa"/>
              <w:right w:w="58" w:type="dxa"/>
            </w:tcMar>
          </w:tcPr>
          <w:p w14:paraId="7BA9604D" w14:textId="77777777" w:rsidR="007371C5" w:rsidRPr="00C2676B" w:rsidRDefault="007371C5" w:rsidP="00356AA0">
            <w:pPr>
              <w:rPr>
                <w:rFonts w:ascii="Times New Roman" w:hAnsi="Times New Roman" w:cs="Times New Roman"/>
                <w:sz w:val="21"/>
                <w:szCs w:val="21"/>
              </w:rPr>
            </w:pPr>
            <w:r w:rsidRPr="00C2676B">
              <w:rPr>
                <w:rFonts w:ascii="Times New Roman" w:hAnsi="Times New Roman" w:cs="Times New Roman"/>
                <w:sz w:val="21"/>
                <w:szCs w:val="21"/>
              </w:rPr>
              <w:t>Right Cingulum Bundle (QA)</w:t>
            </w:r>
          </w:p>
        </w:tc>
        <w:tc>
          <w:tcPr>
            <w:tcW w:w="216" w:type="dxa"/>
            <w:tcBorders>
              <w:top w:val="nil"/>
              <w:left w:val="nil"/>
              <w:bottom w:val="nil"/>
              <w:right w:val="nil"/>
            </w:tcBorders>
            <w:tcMar>
              <w:left w:w="58" w:type="dxa"/>
              <w:right w:w="58" w:type="dxa"/>
            </w:tcMar>
          </w:tcPr>
          <w:p w14:paraId="2BE05FC3"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59C683FF"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FC2A468"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5929EA4B"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380E2826"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1226F8AC"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7C1EA12B"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3E19E1C9"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01F7BCE8"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1816BE71" w14:textId="77777777" w:rsidR="007371C5" w:rsidRPr="00C2676B" w:rsidRDefault="007371C5" w:rsidP="00356AA0">
            <w:pPr>
              <w:jc w:val="center"/>
              <w:rPr>
                <w:rFonts w:ascii="Times New Roman" w:hAnsi="Times New Roman" w:cs="Times New Roman"/>
                <w:sz w:val="21"/>
                <w:szCs w:val="21"/>
              </w:rPr>
            </w:pPr>
          </w:p>
        </w:tc>
      </w:tr>
      <w:tr w:rsidR="007371C5" w:rsidRPr="00C2676B" w14:paraId="4CC102BC"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507132F6"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Overall Model</w:t>
            </w:r>
          </w:p>
        </w:tc>
        <w:tc>
          <w:tcPr>
            <w:tcW w:w="216" w:type="dxa"/>
            <w:tcBorders>
              <w:top w:val="nil"/>
              <w:left w:val="nil"/>
              <w:bottom w:val="nil"/>
              <w:right w:val="nil"/>
            </w:tcBorders>
            <w:tcMar>
              <w:left w:w="58" w:type="dxa"/>
              <w:right w:w="58" w:type="dxa"/>
            </w:tcMar>
          </w:tcPr>
          <w:p w14:paraId="21BCD84B"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4C26F50"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23.57</w:t>
            </w:r>
          </w:p>
        </w:tc>
        <w:tc>
          <w:tcPr>
            <w:tcW w:w="216" w:type="dxa"/>
            <w:tcBorders>
              <w:top w:val="nil"/>
              <w:left w:val="nil"/>
              <w:bottom w:val="nil"/>
              <w:right w:val="nil"/>
            </w:tcBorders>
            <w:tcMar>
              <w:left w:w="58" w:type="dxa"/>
              <w:right w:w="58" w:type="dxa"/>
            </w:tcMar>
          </w:tcPr>
          <w:p w14:paraId="12354780"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2104C182"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&lt; 0.001*</w:t>
            </w:r>
          </w:p>
        </w:tc>
        <w:tc>
          <w:tcPr>
            <w:tcW w:w="216" w:type="dxa"/>
            <w:tcBorders>
              <w:top w:val="nil"/>
              <w:left w:val="nil"/>
              <w:bottom w:val="nil"/>
              <w:right w:val="nil"/>
            </w:tcBorders>
          </w:tcPr>
          <w:p w14:paraId="4E80610E"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2E184535"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7423C40A"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1B249FE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67174CE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03ED96DB" w14:textId="77777777" w:rsidR="007371C5" w:rsidRPr="00C2676B" w:rsidRDefault="007371C5" w:rsidP="00356AA0">
            <w:pPr>
              <w:jc w:val="center"/>
              <w:rPr>
                <w:rFonts w:ascii="Times New Roman" w:hAnsi="Times New Roman" w:cs="Times New Roman"/>
                <w:sz w:val="21"/>
                <w:szCs w:val="21"/>
              </w:rPr>
            </w:pPr>
          </w:p>
        </w:tc>
      </w:tr>
      <w:tr w:rsidR="007371C5" w:rsidRPr="00C2676B" w14:paraId="702B473D" w14:textId="77777777" w:rsidTr="00356AA0">
        <w:trPr>
          <w:gridAfter w:val="1"/>
          <w:wAfter w:w="18" w:type="dxa"/>
        </w:trPr>
        <w:tc>
          <w:tcPr>
            <w:tcW w:w="3165" w:type="dxa"/>
            <w:tcBorders>
              <w:top w:val="nil"/>
              <w:bottom w:val="nil"/>
              <w:right w:val="nil"/>
            </w:tcBorders>
            <w:tcMar>
              <w:left w:w="58" w:type="dxa"/>
              <w:right w:w="58" w:type="dxa"/>
            </w:tcMar>
          </w:tcPr>
          <w:p w14:paraId="2392C276"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Family income</w:t>
            </w:r>
          </w:p>
        </w:tc>
        <w:tc>
          <w:tcPr>
            <w:tcW w:w="216" w:type="dxa"/>
            <w:tcBorders>
              <w:top w:val="nil"/>
              <w:left w:val="nil"/>
              <w:bottom w:val="nil"/>
              <w:right w:val="nil"/>
            </w:tcBorders>
            <w:tcMar>
              <w:left w:w="58" w:type="dxa"/>
              <w:right w:w="58" w:type="dxa"/>
            </w:tcMar>
          </w:tcPr>
          <w:p w14:paraId="503AEC60"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7F8B11F6"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53D0A9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61CB54C9"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50808360"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6D3CEA57"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0.136</w:t>
            </w:r>
          </w:p>
        </w:tc>
        <w:tc>
          <w:tcPr>
            <w:tcW w:w="216" w:type="dxa"/>
            <w:tcBorders>
              <w:top w:val="nil"/>
              <w:left w:val="nil"/>
              <w:bottom w:val="nil"/>
              <w:right w:val="nil"/>
            </w:tcBorders>
            <w:tcMar>
              <w:left w:w="58" w:type="dxa"/>
              <w:right w:w="58" w:type="dxa"/>
            </w:tcMar>
          </w:tcPr>
          <w:p w14:paraId="54F6FE18"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227ECD8A"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2.47</w:t>
            </w:r>
          </w:p>
        </w:tc>
        <w:tc>
          <w:tcPr>
            <w:tcW w:w="216" w:type="dxa"/>
            <w:tcBorders>
              <w:top w:val="nil"/>
              <w:left w:val="nil"/>
              <w:bottom w:val="nil"/>
              <w:right w:val="nil"/>
            </w:tcBorders>
          </w:tcPr>
          <w:p w14:paraId="759FF368"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1449D98A"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0.014</w:t>
            </w:r>
          </w:p>
        </w:tc>
      </w:tr>
      <w:tr w:rsidR="007371C5" w:rsidRPr="00C2676B" w14:paraId="3D78F4B1" w14:textId="77777777" w:rsidTr="00356AA0">
        <w:trPr>
          <w:gridAfter w:val="1"/>
          <w:wAfter w:w="18" w:type="dxa"/>
        </w:trPr>
        <w:tc>
          <w:tcPr>
            <w:tcW w:w="3165" w:type="dxa"/>
            <w:tcBorders>
              <w:top w:val="nil"/>
              <w:bottom w:val="nil"/>
              <w:right w:val="nil"/>
            </w:tcBorders>
            <w:tcMar>
              <w:left w:w="58" w:type="dxa"/>
              <w:right w:w="58" w:type="dxa"/>
            </w:tcMar>
          </w:tcPr>
          <w:p w14:paraId="4758F3A2"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Violence exposure</w:t>
            </w:r>
          </w:p>
        </w:tc>
        <w:tc>
          <w:tcPr>
            <w:tcW w:w="216" w:type="dxa"/>
            <w:tcBorders>
              <w:top w:val="nil"/>
              <w:left w:val="nil"/>
              <w:bottom w:val="nil"/>
              <w:right w:val="nil"/>
            </w:tcBorders>
            <w:tcMar>
              <w:left w:w="58" w:type="dxa"/>
              <w:right w:w="58" w:type="dxa"/>
            </w:tcMar>
          </w:tcPr>
          <w:p w14:paraId="3A876D16"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7870B9A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78F6BFA"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742E18BA"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27779FA4"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3342B06"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-0.116</w:t>
            </w:r>
          </w:p>
        </w:tc>
        <w:tc>
          <w:tcPr>
            <w:tcW w:w="216" w:type="dxa"/>
            <w:tcBorders>
              <w:top w:val="nil"/>
              <w:left w:val="nil"/>
              <w:bottom w:val="nil"/>
              <w:right w:val="nil"/>
            </w:tcBorders>
            <w:tcMar>
              <w:left w:w="58" w:type="dxa"/>
              <w:right w:w="58" w:type="dxa"/>
            </w:tcMar>
          </w:tcPr>
          <w:p w14:paraId="736353DA"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4494C7C2"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-2.06</w:t>
            </w:r>
          </w:p>
        </w:tc>
        <w:tc>
          <w:tcPr>
            <w:tcW w:w="216" w:type="dxa"/>
            <w:tcBorders>
              <w:top w:val="nil"/>
              <w:left w:val="nil"/>
              <w:bottom w:val="nil"/>
              <w:right w:val="nil"/>
            </w:tcBorders>
          </w:tcPr>
          <w:p w14:paraId="1AC0372B"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B11305B"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0.041</w:t>
            </w:r>
          </w:p>
        </w:tc>
      </w:tr>
      <w:tr w:rsidR="007371C5" w:rsidRPr="00C2676B" w14:paraId="509D7F68" w14:textId="77777777" w:rsidTr="00356AA0">
        <w:trPr>
          <w:gridAfter w:val="1"/>
          <w:wAfter w:w="18" w:type="dxa"/>
        </w:trPr>
        <w:tc>
          <w:tcPr>
            <w:tcW w:w="3165" w:type="dxa"/>
            <w:tcBorders>
              <w:top w:val="nil"/>
              <w:bottom w:val="nil"/>
              <w:right w:val="nil"/>
            </w:tcBorders>
            <w:tcMar>
              <w:left w:w="58" w:type="dxa"/>
              <w:right w:w="58" w:type="dxa"/>
            </w:tcMar>
          </w:tcPr>
          <w:p w14:paraId="644FF7C6" w14:textId="77777777" w:rsidR="007371C5" w:rsidRPr="00C2676B" w:rsidRDefault="007371C5" w:rsidP="00356AA0">
            <w:pP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6AE16016"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330212E"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4875BED9"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68275C3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9091AC5"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D54D646"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3AAD2C0C"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207FA280"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5B89CFAE"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0F1357B" w14:textId="77777777" w:rsidR="007371C5" w:rsidRPr="00C2676B" w:rsidRDefault="007371C5" w:rsidP="00356AA0">
            <w:pPr>
              <w:jc w:val="center"/>
              <w:rPr>
                <w:rFonts w:ascii="Times New Roman" w:hAnsi="Times New Roman" w:cs="Times New Roman"/>
                <w:sz w:val="21"/>
                <w:szCs w:val="21"/>
              </w:rPr>
            </w:pPr>
          </w:p>
        </w:tc>
      </w:tr>
      <w:tr w:rsidR="007371C5" w:rsidRPr="00C2676B" w14:paraId="23F92B68" w14:textId="77777777" w:rsidTr="00356AA0">
        <w:trPr>
          <w:gridAfter w:val="1"/>
          <w:wAfter w:w="18" w:type="dxa"/>
        </w:trPr>
        <w:tc>
          <w:tcPr>
            <w:tcW w:w="3165" w:type="dxa"/>
            <w:tcBorders>
              <w:top w:val="nil"/>
              <w:bottom w:val="single" w:sz="4" w:space="0" w:color="auto"/>
              <w:right w:val="nil"/>
            </w:tcBorders>
            <w:tcMar>
              <w:left w:w="58" w:type="dxa"/>
              <w:right w:w="58" w:type="dxa"/>
            </w:tcMar>
          </w:tcPr>
          <w:p w14:paraId="452D9CCF" w14:textId="77777777" w:rsidR="007371C5" w:rsidRPr="00C2676B" w:rsidRDefault="007371C5" w:rsidP="00356AA0">
            <w:pPr>
              <w:rPr>
                <w:rFonts w:ascii="Times New Roman" w:hAnsi="Times New Roman" w:cs="Times New Roman"/>
                <w:sz w:val="21"/>
                <w:szCs w:val="21"/>
              </w:rPr>
            </w:pPr>
            <w:r w:rsidRPr="00C2676B">
              <w:rPr>
                <w:rFonts w:ascii="Times New Roman" w:hAnsi="Times New Roman" w:cs="Times New Roman"/>
                <w:sz w:val="21"/>
                <w:szCs w:val="21"/>
              </w:rPr>
              <w:t>Left Uncinate Fasciculus (QA)</w:t>
            </w:r>
          </w:p>
        </w:tc>
        <w:tc>
          <w:tcPr>
            <w:tcW w:w="216" w:type="dxa"/>
            <w:tcBorders>
              <w:top w:val="nil"/>
              <w:left w:val="nil"/>
              <w:bottom w:val="nil"/>
              <w:right w:val="nil"/>
            </w:tcBorders>
            <w:tcMar>
              <w:left w:w="58" w:type="dxa"/>
              <w:right w:w="58" w:type="dxa"/>
            </w:tcMar>
          </w:tcPr>
          <w:p w14:paraId="01E59DD9"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0E54FD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834EC48"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01597CB2"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611179C6"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6799B36"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32445CB5"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03A5496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6FE7A84"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1BAF0255" w14:textId="77777777" w:rsidR="007371C5" w:rsidRPr="00C2676B" w:rsidRDefault="007371C5" w:rsidP="00356AA0">
            <w:pPr>
              <w:jc w:val="center"/>
              <w:rPr>
                <w:rFonts w:ascii="Times New Roman" w:hAnsi="Times New Roman" w:cs="Times New Roman"/>
                <w:sz w:val="21"/>
                <w:szCs w:val="21"/>
              </w:rPr>
            </w:pPr>
          </w:p>
        </w:tc>
      </w:tr>
      <w:tr w:rsidR="007371C5" w:rsidRPr="00C2676B" w14:paraId="34A29C90"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2902F4EC"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Overall Model</w:t>
            </w:r>
          </w:p>
        </w:tc>
        <w:tc>
          <w:tcPr>
            <w:tcW w:w="216" w:type="dxa"/>
            <w:tcBorders>
              <w:top w:val="nil"/>
              <w:left w:val="nil"/>
              <w:bottom w:val="nil"/>
              <w:right w:val="nil"/>
            </w:tcBorders>
            <w:tcMar>
              <w:left w:w="58" w:type="dxa"/>
              <w:right w:w="58" w:type="dxa"/>
            </w:tcMar>
          </w:tcPr>
          <w:p w14:paraId="717AC7CA"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0E4F8A38"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7.09</w:t>
            </w:r>
          </w:p>
        </w:tc>
        <w:tc>
          <w:tcPr>
            <w:tcW w:w="216" w:type="dxa"/>
            <w:tcBorders>
              <w:top w:val="nil"/>
              <w:left w:val="nil"/>
              <w:bottom w:val="nil"/>
              <w:right w:val="nil"/>
            </w:tcBorders>
            <w:tcMar>
              <w:left w:w="58" w:type="dxa"/>
              <w:right w:w="58" w:type="dxa"/>
            </w:tcMar>
          </w:tcPr>
          <w:p w14:paraId="1C76474F"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009A67B0"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&lt; 0.001*</w:t>
            </w:r>
          </w:p>
        </w:tc>
        <w:tc>
          <w:tcPr>
            <w:tcW w:w="216" w:type="dxa"/>
            <w:tcBorders>
              <w:top w:val="nil"/>
              <w:left w:val="nil"/>
              <w:bottom w:val="nil"/>
              <w:right w:val="nil"/>
            </w:tcBorders>
          </w:tcPr>
          <w:p w14:paraId="3E887114"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1366D13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6A747B06"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11A08BCB"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571FB2D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761C3ED0" w14:textId="77777777" w:rsidR="007371C5" w:rsidRPr="00C2676B" w:rsidRDefault="007371C5" w:rsidP="00356AA0">
            <w:pPr>
              <w:jc w:val="center"/>
              <w:rPr>
                <w:rFonts w:ascii="Times New Roman" w:hAnsi="Times New Roman" w:cs="Times New Roman"/>
                <w:sz w:val="21"/>
                <w:szCs w:val="21"/>
              </w:rPr>
            </w:pPr>
          </w:p>
        </w:tc>
      </w:tr>
      <w:tr w:rsidR="007371C5" w:rsidRPr="00C2676B" w14:paraId="338066F9" w14:textId="77777777" w:rsidTr="00356AA0">
        <w:trPr>
          <w:gridAfter w:val="1"/>
          <w:wAfter w:w="18" w:type="dxa"/>
        </w:trPr>
        <w:tc>
          <w:tcPr>
            <w:tcW w:w="3165" w:type="dxa"/>
            <w:tcBorders>
              <w:top w:val="nil"/>
              <w:bottom w:val="nil"/>
              <w:right w:val="nil"/>
            </w:tcBorders>
            <w:tcMar>
              <w:left w:w="58" w:type="dxa"/>
              <w:right w:w="58" w:type="dxa"/>
            </w:tcMar>
          </w:tcPr>
          <w:p w14:paraId="5D5D0279"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Family income</w:t>
            </w:r>
          </w:p>
        </w:tc>
        <w:tc>
          <w:tcPr>
            <w:tcW w:w="216" w:type="dxa"/>
            <w:tcBorders>
              <w:top w:val="nil"/>
              <w:left w:val="nil"/>
              <w:bottom w:val="nil"/>
              <w:right w:val="nil"/>
            </w:tcBorders>
            <w:tcMar>
              <w:left w:w="58" w:type="dxa"/>
              <w:right w:w="58" w:type="dxa"/>
            </w:tcMar>
          </w:tcPr>
          <w:p w14:paraId="5434C4B5"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076B2B0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355F364A"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20B280F0"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B0938AC"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2BD0153F"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0.118</w:t>
            </w:r>
          </w:p>
        </w:tc>
        <w:tc>
          <w:tcPr>
            <w:tcW w:w="216" w:type="dxa"/>
            <w:tcBorders>
              <w:top w:val="nil"/>
              <w:left w:val="nil"/>
              <w:bottom w:val="nil"/>
              <w:right w:val="nil"/>
            </w:tcBorders>
            <w:tcMar>
              <w:left w:w="58" w:type="dxa"/>
              <w:right w:w="58" w:type="dxa"/>
            </w:tcMar>
          </w:tcPr>
          <w:p w14:paraId="68CBE7FA"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718F56B5"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1.89</w:t>
            </w:r>
          </w:p>
        </w:tc>
        <w:tc>
          <w:tcPr>
            <w:tcW w:w="216" w:type="dxa"/>
            <w:tcBorders>
              <w:top w:val="nil"/>
              <w:left w:val="nil"/>
              <w:bottom w:val="nil"/>
              <w:right w:val="nil"/>
            </w:tcBorders>
          </w:tcPr>
          <w:p w14:paraId="22FE4562"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0FB87C2C"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0.060</w:t>
            </w:r>
          </w:p>
        </w:tc>
      </w:tr>
      <w:tr w:rsidR="007371C5" w:rsidRPr="00C2676B" w14:paraId="77ED7A09" w14:textId="77777777" w:rsidTr="00356AA0">
        <w:trPr>
          <w:gridAfter w:val="1"/>
          <w:wAfter w:w="18" w:type="dxa"/>
        </w:trPr>
        <w:tc>
          <w:tcPr>
            <w:tcW w:w="3165" w:type="dxa"/>
            <w:tcBorders>
              <w:top w:val="nil"/>
              <w:bottom w:val="nil"/>
              <w:right w:val="nil"/>
            </w:tcBorders>
            <w:tcMar>
              <w:left w:w="58" w:type="dxa"/>
              <w:right w:w="58" w:type="dxa"/>
            </w:tcMar>
          </w:tcPr>
          <w:p w14:paraId="5FFB20C4"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Violence exposure</w:t>
            </w:r>
          </w:p>
        </w:tc>
        <w:tc>
          <w:tcPr>
            <w:tcW w:w="216" w:type="dxa"/>
            <w:tcBorders>
              <w:top w:val="nil"/>
              <w:left w:val="nil"/>
              <w:bottom w:val="nil"/>
              <w:right w:val="nil"/>
            </w:tcBorders>
            <w:tcMar>
              <w:left w:w="58" w:type="dxa"/>
              <w:right w:w="58" w:type="dxa"/>
            </w:tcMar>
          </w:tcPr>
          <w:p w14:paraId="4024F5E4"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4F9FAE0"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651A556A"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3E4BAEE1"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880D2BD"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0121972C"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-0.044</w:t>
            </w:r>
          </w:p>
        </w:tc>
        <w:tc>
          <w:tcPr>
            <w:tcW w:w="216" w:type="dxa"/>
            <w:tcBorders>
              <w:top w:val="nil"/>
              <w:left w:val="nil"/>
              <w:bottom w:val="nil"/>
              <w:right w:val="nil"/>
            </w:tcBorders>
            <w:tcMar>
              <w:left w:w="58" w:type="dxa"/>
              <w:right w:w="58" w:type="dxa"/>
            </w:tcMar>
          </w:tcPr>
          <w:p w14:paraId="00B125DD"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27064F94"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-0.688</w:t>
            </w:r>
          </w:p>
        </w:tc>
        <w:tc>
          <w:tcPr>
            <w:tcW w:w="216" w:type="dxa"/>
            <w:tcBorders>
              <w:top w:val="nil"/>
              <w:left w:val="nil"/>
              <w:bottom w:val="nil"/>
              <w:right w:val="nil"/>
            </w:tcBorders>
          </w:tcPr>
          <w:p w14:paraId="382799E6"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6247CF6D"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0.492</w:t>
            </w:r>
          </w:p>
        </w:tc>
      </w:tr>
      <w:tr w:rsidR="007371C5" w:rsidRPr="00C2676B" w14:paraId="6F8D4EF4" w14:textId="77777777" w:rsidTr="00356AA0">
        <w:trPr>
          <w:gridAfter w:val="1"/>
          <w:wAfter w:w="18" w:type="dxa"/>
        </w:trPr>
        <w:tc>
          <w:tcPr>
            <w:tcW w:w="3165" w:type="dxa"/>
            <w:tcBorders>
              <w:top w:val="nil"/>
              <w:bottom w:val="nil"/>
              <w:right w:val="nil"/>
            </w:tcBorders>
            <w:tcMar>
              <w:left w:w="58" w:type="dxa"/>
              <w:right w:w="58" w:type="dxa"/>
            </w:tcMar>
          </w:tcPr>
          <w:p w14:paraId="6C6FAB9F" w14:textId="77777777" w:rsidR="007371C5" w:rsidRPr="00C2676B" w:rsidRDefault="007371C5" w:rsidP="00356AA0">
            <w:pP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317D273"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13F1379C"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7EF0722"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17F16451"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22A23D69"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451AB1A5"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C1DF23E"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13E2EC33"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038C126F"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2FABDEC1" w14:textId="77777777" w:rsidR="007371C5" w:rsidRPr="00C2676B" w:rsidRDefault="007371C5" w:rsidP="00356AA0">
            <w:pPr>
              <w:jc w:val="center"/>
              <w:rPr>
                <w:rFonts w:ascii="Times New Roman" w:hAnsi="Times New Roman" w:cs="Times New Roman"/>
                <w:sz w:val="21"/>
                <w:szCs w:val="21"/>
              </w:rPr>
            </w:pPr>
          </w:p>
        </w:tc>
      </w:tr>
      <w:tr w:rsidR="007371C5" w:rsidRPr="00C2676B" w14:paraId="1F37F3AF" w14:textId="77777777" w:rsidTr="00356AA0">
        <w:trPr>
          <w:gridAfter w:val="1"/>
          <w:wAfter w:w="18" w:type="dxa"/>
        </w:trPr>
        <w:tc>
          <w:tcPr>
            <w:tcW w:w="3165" w:type="dxa"/>
            <w:tcBorders>
              <w:top w:val="nil"/>
              <w:bottom w:val="single" w:sz="4" w:space="0" w:color="auto"/>
              <w:right w:val="nil"/>
            </w:tcBorders>
            <w:tcMar>
              <w:left w:w="58" w:type="dxa"/>
              <w:right w:w="58" w:type="dxa"/>
            </w:tcMar>
          </w:tcPr>
          <w:p w14:paraId="1B1AD35D" w14:textId="77777777" w:rsidR="007371C5" w:rsidRPr="00C2676B" w:rsidRDefault="007371C5" w:rsidP="00356AA0">
            <w:pPr>
              <w:rPr>
                <w:rFonts w:ascii="Times New Roman" w:hAnsi="Times New Roman" w:cs="Times New Roman"/>
                <w:sz w:val="21"/>
                <w:szCs w:val="21"/>
              </w:rPr>
            </w:pPr>
            <w:r w:rsidRPr="00C2676B">
              <w:rPr>
                <w:rFonts w:ascii="Times New Roman" w:hAnsi="Times New Roman" w:cs="Times New Roman"/>
                <w:sz w:val="21"/>
                <w:szCs w:val="21"/>
              </w:rPr>
              <w:t>Right Uncinate Fasciculus (QA)</w:t>
            </w:r>
          </w:p>
        </w:tc>
        <w:tc>
          <w:tcPr>
            <w:tcW w:w="216" w:type="dxa"/>
            <w:tcBorders>
              <w:top w:val="nil"/>
              <w:left w:val="nil"/>
              <w:bottom w:val="nil"/>
              <w:right w:val="nil"/>
            </w:tcBorders>
            <w:tcMar>
              <w:left w:w="58" w:type="dxa"/>
              <w:right w:w="58" w:type="dxa"/>
            </w:tcMar>
          </w:tcPr>
          <w:p w14:paraId="6F2B5FD6"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E0898C3"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AD97324"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6323011F"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50EEE252"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76D3861"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3418E437"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39F7D8F0"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44A498C"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60F4824F" w14:textId="77777777" w:rsidR="007371C5" w:rsidRPr="00C2676B" w:rsidRDefault="007371C5" w:rsidP="00356AA0">
            <w:pPr>
              <w:jc w:val="center"/>
              <w:rPr>
                <w:rFonts w:ascii="Times New Roman" w:hAnsi="Times New Roman" w:cs="Times New Roman"/>
                <w:sz w:val="21"/>
                <w:szCs w:val="21"/>
              </w:rPr>
            </w:pPr>
          </w:p>
        </w:tc>
      </w:tr>
      <w:tr w:rsidR="007371C5" w:rsidRPr="00C2676B" w14:paraId="5715D996"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408C3207"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Overall Model</w:t>
            </w:r>
          </w:p>
        </w:tc>
        <w:tc>
          <w:tcPr>
            <w:tcW w:w="216" w:type="dxa"/>
            <w:tcBorders>
              <w:top w:val="nil"/>
              <w:left w:val="nil"/>
              <w:bottom w:val="nil"/>
              <w:right w:val="nil"/>
            </w:tcBorders>
            <w:tcMar>
              <w:left w:w="58" w:type="dxa"/>
              <w:right w:w="58" w:type="dxa"/>
            </w:tcMar>
          </w:tcPr>
          <w:p w14:paraId="5D680BE3"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7B9CD908"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5.76</w:t>
            </w:r>
          </w:p>
        </w:tc>
        <w:tc>
          <w:tcPr>
            <w:tcW w:w="216" w:type="dxa"/>
            <w:tcBorders>
              <w:top w:val="nil"/>
              <w:left w:val="nil"/>
              <w:bottom w:val="nil"/>
              <w:right w:val="nil"/>
            </w:tcBorders>
            <w:tcMar>
              <w:left w:w="58" w:type="dxa"/>
              <w:right w:w="58" w:type="dxa"/>
            </w:tcMar>
          </w:tcPr>
          <w:p w14:paraId="4B3EF261"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48E5516C"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&lt; 0.001*</w:t>
            </w:r>
          </w:p>
        </w:tc>
        <w:tc>
          <w:tcPr>
            <w:tcW w:w="216" w:type="dxa"/>
            <w:tcBorders>
              <w:top w:val="nil"/>
              <w:left w:val="nil"/>
              <w:bottom w:val="nil"/>
              <w:right w:val="nil"/>
            </w:tcBorders>
          </w:tcPr>
          <w:p w14:paraId="20718270"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DA5D33C"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DA588C1"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727C136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1D022919"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76EF5827" w14:textId="77777777" w:rsidR="007371C5" w:rsidRPr="00C2676B" w:rsidRDefault="007371C5" w:rsidP="00356AA0">
            <w:pPr>
              <w:jc w:val="center"/>
              <w:rPr>
                <w:rFonts w:ascii="Times New Roman" w:hAnsi="Times New Roman" w:cs="Times New Roman"/>
                <w:sz w:val="21"/>
                <w:szCs w:val="21"/>
              </w:rPr>
            </w:pPr>
          </w:p>
        </w:tc>
      </w:tr>
      <w:tr w:rsidR="007371C5" w:rsidRPr="00C2676B" w14:paraId="5F35FE29" w14:textId="77777777" w:rsidTr="00356AA0">
        <w:trPr>
          <w:gridAfter w:val="1"/>
          <w:wAfter w:w="18" w:type="dxa"/>
        </w:trPr>
        <w:tc>
          <w:tcPr>
            <w:tcW w:w="3165" w:type="dxa"/>
            <w:tcBorders>
              <w:top w:val="nil"/>
              <w:bottom w:val="nil"/>
              <w:right w:val="nil"/>
            </w:tcBorders>
            <w:tcMar>
              <w:left w:w="58" w:type="dxa"/>
              <w:right w:w="58" w:type="dxa"/>
            </w:tcMar>
          </w:tcPr>
          <w:p w14:paraId="7C492E6C"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Family income</w:t>
            </w:r>
          </w:p>
        </w:tc>
        <w:tc>
          <w:tcPr>
            <w:tcW w:w="216" w:type="dxa"/>
            <w:tcBorders>
              <w:top w:val="nil"/>
              <w:left w:val="nil"/>
              <w:bottom w:val="nil"/>
              <w:right w:val="nil"/>
            </w:tcBorders>
            <w:tcMar>
              <w:left w:w="58" w:type="dxa"/>
              <w:right w:w="58" w:type="dxa"/>
            </w:tcMar>
          </w:tcPr>
          <w:p w14:paraId="1E86EAC2"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38E8E25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93F7FCA"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741648F6"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15FA0ABE"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47ADACA"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0.150</w:t>
            </w:r>
          </w:p>
        </w:tc>
        <w:tc>
          <w:tcPr>
            <w:tcW w:w="216" w:type="dxa"/>
            <w:tcBorders>
              <w:top w:val="nil"/>
              <w:left w:val="nil"/>
              <w:bottom w:val="nil"/>
              <w:right w:val="nil"/>
            </w:tcBorders>
            <w:tcMar>
              <w:left w:w="58" w:type="dxa"/>
              <w:right w:w="58" w:type="dxa"/>
            </w:tcMar>
          </w:tcPr>
          <w:p w14:paraId="682840F6"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6B510571"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2.38</w:t>
            </w:r>
          </w:p>
        </w:tc>
        <w:tc>
          <w:tcPr>
            <w:tcW w:w="216" w:type="dxa"/>
            <w:tcBorders>
              <w:top w:val="nil"/>
              <w:left w:val="nil"/>
              <w:bottom w:val="nil"/>
              <w:right w:val="nil"/>
            </w:tcBorders>
          </w:tcPr>
          <w:p w14:paraId="1E4AA55B"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30B65DB7"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0.018</w:t>
            </w:r>
          </w:p>
        </w:tc>
      </w:tr>
      <w:tr w:rsidR="007371C5" w:rsidRPr="00C2676B" w14:paraId="3484B1C4" w14:textId="77777777" w:rsidTr="00356AA0">
        <w:trPr>
          <w:gridAfter w:val="1"/>
          <w:wAfter w:w="18" w:type="dxa"/>
        </w:trPr>
        <w:tc>
          <w:tcPr>
            <w:tcW w:w="3165" w:type="dxa"/>
            <w:tcBorders>
              <w:top w:val="nil"/>
              <w:bottom w:val="nil"/>
              <w:right w:val="nil"/>
            </w:tcBorders>
            <w:tcMar>
              <w:left w:w="58" w:type="dxa"/>
              <w:right w:w="58" w:type="dxa"/>
            </w:tcMar>
          </w:tcPr>
          <w:p w14:paraId="35644C14"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Violence exposure</w:t>
            </w:r>
          </w:p>
        </w:tc>
        <w:tc>
          <w:tcPr>
            <w:tcW w:w="216" w:type="dxa"/>
            <w:tcBorders>
              <w:top w:val="nil"/>
              <w:left w:val="nil"/>
              <w:bottom w:val="nil"/>
              <w:right w:val="nil"/>
            </w:tcBorders>
            <w:tcMar>
              <w:left w:w="58" w:type="dxa"/>
              <w:right w:w="58" w:type="dxa"/>
            </w:tcMar>
          </w:tcPr>
          <w:p w14:paraId="63C7654B"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7385D9C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71002724"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2DEA827F"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189D03B4"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5AA3C164"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-0.043</w:t>
            </w:r>
          </w:p>
        </w:tc>
        <w:tc>
          <w:tcPr>
            <w:tcW w:w="216" w:type="dxa"/>
            <w:tcBorders>
              <w:top w:val="nil"/>
              <w:left w:val="nil"/>
              <w:bottom w:val="nil"/>
              <w:right w:val="nil"/>
            </w:tcBorders>
            <w:tcMar>
              <w:left w:w="58" w:type="dxa"/>
              <w:right w:w="58" w:type="dxa"/>
            </w:tcMar>
          </w:tcPr>
          <w:p w14:paraId="573F1196"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299295CA"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-0.668</w:t>
            </w:r>
          </w:p>
        </w:tc>
        <w:tc>
          <w:tcPr>
            <w:tcW w:w="216" w:type="dxa"/>
            <w:tcBorders>
              <w:top w:val="nil"/>
              <w:left w:val="nil"/>
              <w:bottom w:val="nil"/>
              <w:right w:val="nil"/>
            </w:tcBorders>
          </w:tcPr>
          <w:p w14:paraId="7789283E"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63D9C5C3"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0.505</w:t>
            </w:r>
          </w:p>
        </w:tc>
      </w:tr>
      <w:tr w:rsidR="007371C5" w:rsidRPr="00C2676B" w14:paraId="02C6CB49" w14:textId="77777777" w:rsidTr="00356AA0">
        <w:trPr>
          <w:gridAfter w:val="1"/>
          <w:wAfter w:w="18" w:type="dxa"/>
        </w:trPr>
        <w:tc>
          <w:tcPr>
            <w:tcW w:w="3165" w:type="dxa"/>
            <w:tcBorders>
              <w:top w:val="nil"/>
              <w:bottom w:val="nil"/>
              <w:right w:val="nil"/>
            </w:tcBorders>
            <w:tcMar>
              <w:left w:w="58" w:type="dxa"/>
              <w:right w:w="58" w:type="dxa"/>
            </w:tcMar>
          </w:tcPr>
          <w:p w14:paraId="61A48391" w14:textId="77777777" w:rsidR="007371C5" w:rsidRPr="00C2676B" w:rsidRDefault="007371C5" w:rsidP="00356AA0">
            <w:pP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7F5849EF"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7919441E"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9571B1F"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7DB86793"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266A6126"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5A1DB443"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409956CA"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55A3652A"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86CD7AB"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029AAC0B" w14:textId="77777777" w:rsidR="007371C5" w:rsidRPr="00C2676B" w:rsidRDefault="007371C5" w:rsidP="00356AA0">
            <w:pPr>
              <w:jc w:val="center"/>
              <w:rPr>
                <w:rFonts w:ascii="Times New Roman" w:hAnsi="Times New Roman" w:cs="Times New Roman"/>
                <w:sz w:val="21"/>
                <w:szCs w:val="21"/>
              </w:rPr>
            </w:pPr>
          </w:p>
        </w:tc>
      </w:tr>
      <w:tr w:rsidR="007371C5" w:rsidRPr="00C2676B" w14:paraId="6F94B033" w14:textId="77777777" w:rsidTr="00356AA0">
        <w:trPr>
          <w:gridAfter w:val="1"/>
          <w:wAfter w:w="18" w:type="dxa"/>
        </w:trPr>
        <w:tc>
          <w:tcPr>
            <w:tcW w:w="3165" w:type="dxa"/>
            <w:tcBorders>
              <w:top w:val="nil"/>
              <w:bottom w:val="single" w:sz="4" w:space="0" w:color="auto"/>
              <w:right w:val="nil"/>
            </w:tcBorders>
            <w:tcMar>
              <w:left w:w="58" w:type="dxa"/>
              <w:right w:w="58" w:type="dxa"/>
            </w:tcMar>
          </w:tcPr>
          <w:p w14:paraId="1F716639" w14:textId="77777777" w:rsidR="007371C5" w:rsidRPr="00C2676B" w:rsidRDefault="007371C5" w:rsidP="00356AA0">
            <w:pPr>
              <w:rPr>
                <w:rFonts w:ascii="Times New Roman" w:hAnsi="Times New Roman" w:cs="Times New Roman"/>
                <w:sz w:val="21"/>
                <w:szCs w:val="21"/>
              </w:rPr>
            </w:pPr>
            <w:r w:rsidRPr="00C2676B">
              <w:rPr>
                <w:rFonts w:ascii="Times New Roman" w:hAnsi="Times New Roman" w:cs="Times New Roman"/>
                <w:sz w:val="21"/>
                <w:szCs w:val="21"/>
              </w:rPr>
              <w:t>Left Stria Terminalis/Fornix (QA)</w:t>
            </w:r>
          </w:p>
        </w:tc>
        <w:tc>
          <w:tcPr>
            <w:tcW w:w="216" w:type="dxa"/>
            <w:tcBorders>
              <w:top w:val="nil"/>
              <w:left w:val="nil"/>
              <w:bottom w:val="nil"/>
              <w:right w:val="nil"/>
            </w:tcBorders>
            <w:tcMar>
              <w:left w:w="58" w:type="dxa"/>
              <w:right w:w="58" w:type="dxa"/>
            </w:tcMar>
          </w:tcPr>
          <w:p w14:paraId="5C6B53BF"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1C789DAE"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A45E72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46C11C21"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96105D6"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1A29D982"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289FFF5"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132D288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678AAAB"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1E3843FB" w14:textId="77777777" w:rsidR="007371C5" w:rsidRPr="00C2676B" w:rsidRDefault="007371C5" w:rsidP="00356AA0">
            <w:pPr>
              <w:jc w:val="center"/>
              <w:rPr>
                <w:rFonts w:ascii="Times New Roman" w:hAnsi="Times New Roman" w:cs="Times New Roman"/>
                <w:sz w:val="21"/>
                <w:szCs w:val="21"/>
              </w:rPr>
            </w:pPr>
          </w:p>
        </w:tc>
      </w:tr>
      <w:tr w:rsidR="007371C5" w:rsidRPr="00C2676B" w14:paraId="4649987B"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36388153"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Overall Model</w:t>
            </w:r>
          </w:p>
        </w:tc>
        <w:tc>
          <w:tcPr>
            <w:tcW w:w="216" w:type="dxa"/>
            <w:tcBorders>
              <w:top w:val="nil"/>
              <w:left w:val="nil"/>
              <w:bottom w:val="nil"/>
              <w:right w:val="nil"/>
            </w:tcBorders>
            <w:tcMar>
              <w:left w:w="58" w:type="dxa"/>
              <w:right w:w="58" w:type="dxa"/>
            </w:tcMar>
          </w:tcPr>
          <w:p w14:paraId="30C61D1A"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3B574104"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7.62</w:t>
            </w:r>
          </w:p>
        </w:tc>
        <w:tc>
          <w:tcPr>
            <w:tcW w:w="216" w:type="dxa"/>
            <w:tcBorders>
              <w:top w:val="nil"/>
              <w:left w:val="nil"/>
              <w:bottom w:val="nil"/>
              <w:right w:val="nil"/>
            </w:tcBorders>
            <w:tcMar>
              <w:left w:w="58" w:type="dxa"/>
              <w:right w:w="58" w:type="dxa"/>
            </w:tcMar>
          </w:tcPr>
          <w:p w14:paraId="1D6616BD"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708313CB"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&lt; 0.001*</w:t>
            </w:r>
          </w:p>
        </w:tc>
        <w:tc>
          <w:tcPr>
            <w:tcW w:w="216" w:type="dxa"/>
            <w:tcBorders>
              <w:top w:val="nil"/>
              <w:left w:val="nil"/>
              <w:bottom w:val="nil"/>
              <w:right w:val="nil"/>
            </w:tcBorders>
          </w:tcPr>
          <w:p w14:paraId="6F9B495B"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35A169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221029C"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676DE227"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D89D6F1"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2C07E785" w14:textId="77777777" w:rsidR="007371C5" w:rsidRPr="00C2676B" w:rsidRDefault="007371C5" w:rsidP="00356AA0">
            <w:pPr>
              <w:jc w:val="center"/>
              <w:rPr>
                <w:rFonts w:ascii="Times New Roman" w:hAnsi="Times New Roman" w:cs="Times New Roman"/>
                <w:sz w:val="21"/>
                <w:szCs w:val="21"/>
              </w:rPr>
            </w:pPr>
          </w:p>
        </w:tc>
      </w:tr>
      <w:tr w:rsidR="007371C5" w:rsidRPr="00C2676B" w14:paraId="40850BE9" w14:textId="77777777" w:rsidTr="00356AA0">
        <w:trPr>
          <w:gridAfter w:val="1"/>
          <w:wAfter w:w="18" w:type="dxa"/>
        </w:trPr>
        <w:tc>
          <w:tcPr>
            <w:tcW w:w="3165" w:type="dxa"/>
            <w:tcBorders>
              <w:top w:val="nil"/>
              <w:bottom w:val="nil"/>
              <w:right w:val="nil"/>
            </w:tcBorders>
            <w:tcMar>
              <w:left w:w="58" w:type="dxa"/>
              <w:right w:w="58" w:type="dxa"/>
            </w:tcMar>
          </w:tcPr>
          <w:p w14:paraId="106B853F"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Family income</w:t>
            </w:r>
          </w:p>
        </w:tc>
        <w:tc>
          <w:tcPr>
            <w:tcW w:w="216" w:type="dxa"/>
            <w:tcBorders>
              <w:top w:val="nil"/>
              <w:left w:val="nil"/>
              <w:bottom w:val="nil"/>
              <w:right w:val="nil"/>
            </w:tcBorders>
            <w:tcMar>
              <w:left w:w="58" w:type="dxa"/>
              <w:right w:w="58" w:type="dxa"/>
            </w:tcMar>
          </w:tcPr>
          <w:p w14:paraId="07E37E35"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3D6D7332"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AE92AFE"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4E232658"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3582D02B"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678BF0F"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0.212</w:t>
            </w:r>
          </w:p>
        </w:tc>
        <w:tc>
          <w:tcPr>
            <w:tcW w:w="216" w:type="dxa"/>
            <w:tcBorders>
              <w:top w:val="nil"/>
              <w:left w:val="nil"/>
              <w:bottom w:val="nil"/>
              <w:right w:val="nil"/>
            </w:tcBorders>
            <w:tcMar>
              <w:left w:w="58" w:type="dxa"/>
              <w:right w:w="58" w:type="dxa"/>
            </w:tcMar>
          </w:tcPr>
          <w:p w14:paraId="1146A08F"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5D8A3609"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3.20</w:t>
            </w:r>
          </w:p>
        </w:tc>
        <w:tc>
          <w:tcPr>
            <w:tcW w:w="216" w:type="dxa"/>
            <w:tcBorders>
              <w:top w:val="nil"/>
              <w:left w:val="nil"/>
              <w:bottom w:val="nil"/>
              <w:right w:val="nil"/>
            </w:tcBorders>
          </w:tcPr>
          <w:p w14:paraId="1A47D7EE"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1338513"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0.002</w:t>
            </w:r>
          </w:p>
        </w:tc>
      </w:tr>
      <w:tr w:rsidR="007371C5" w:rsidRPr="00C2676B" w14:paraId="2B619AE7" w14:textId="77777777" w:rsidTr="00356AA0">
        <w:trPr>
          <w:gridAfter w:val="1"/>
          <w:wAfter w:w="18" w:type="dxa"/>
        </w:trPr>
        <w:tc>
          <w:tcPr>
            <w:tcW w:w="3165" w:type="dxa"/>
            <w:tcBorders>
              <w:top w:val="nil"/>
              <w:bottom w:val="nil"/>
              <w:right w:val="nil"/>
            </w:tcBorders>
            <w:tcMar>
              <w:left w:w="58" w:type="dxa"/>
              <w:right w:w="58" w:type="dxa"/>
            </w:tcMar>
          </w:tcPr>
          <w:p w14:paraId="4B26B399"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Violence exposure</w:t>
            </w:r>
          </w:p>
        </w:tc>
        <w:tc>
          <w:tcPr>
            <w:tcW w:w="216" w:type="dxa"/>
            <w:tcBorders>
              <w:top w:val="nil"/>
              <w:left w:val="nil"/>
              <w:bottom w:val="nil"/>
              <w:right w:val="nil"/>
            </w:tcBorders>
            <w:tcMar>
              <w:left w:w="58" w:type="dxa"/>
              <w:right w:w="58" w:type="dxa"/>
            </w:tcMar>
          </w:tcPr>
          <w:p w14:paraId="26C4D923"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68CAE469"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4AA98209"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63EE70B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D6696A3"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3ADBE9B"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-0.036</w:t>
            </w:r>
          </w:p>
        </w:tc>
        <w:tc>
          <w:tcPr>
            <w:tcW w:w="216" w:type="dxa"/>
            <w:tcBorders>
              <w:top w:val="nil"/>
              <w:left w:val="nil"/>
              <w:bottom w:val="nil"/>
              <w:right w:val="nil"/>
            </w:tcBorders>
            <w:tcMar>
              <w:left w:w="58" w:type="dxa"/>
              <w:right w:w="58" w:type="dxa"/>
            </w:tcMar>
          </w:tcPr>
          <w:p w14:paraId="6B7646E1"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338A0845"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-0.529</w:t>
            </w:r>
          </w:p>
        </w:tc>
        <w:tc>
          <w:tcPr>
            <w:tcW w:w="216" w:type="dxa"/>
            <w:tcBorders>
              <w:top w:val="nil"/>
              <w:left w:val="nil"/>
              <w:bottom w:val="nil"/>
              <w:right w:val="nil"/>
            </w:tcBorders>
          </w:tcPr>
          <w:p w14:paraId="516C1383"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3A355744"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0.589</w:t>
            </w:r>
          </w:p>
        </w:tc>
      </w:tr>
      <w:tr w:rsidR="007371C5" w:rsidRPr="00C2676B" w14:paraId="45256888" w14:textId="77777777" w:rsidTr="00356AA0">
        <w:trPr>
          <w:gridAfter w:val="1"/>
          <w:wAfter w:w="18" w:type="dxa"/>
        </w:trPr>
        <w:tc>
          <w:tcPr>
            <w:tcW w:w="3165" w:type="dxa"/>
            <w:tcBorders>
              <w:top w:val="nil"/>
              <w:bottom w:val="nil"/>
              <w:right w:val="nil"/>
            </w:tcBorders>
            <w:tcMar>
              <w:left w:w="58" w:type="dxa"/>
              <w:right w:w="58" w:type="dxa"/>
            </w:tcMar>
          </w:tcPr>
          <w:p w14:paraId="5A806988" w14:textId="77777777" w:rsidR="007371C5" w:rsidRPr="00C2676B" w:rsidRDefault="007371C5" w:rsidP="00356AA0">
            <w:pPr>
              <w:jc w:val="right"/>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0B5D698A"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19A69286"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64FEBC8"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63152DF9"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3E918CE3"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0D6BBBA"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78ECB18C"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2B64461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0E2A2EC"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1911026" w14:textId="77777777" w:rsidR="007371C5" w:rsidRPr="00C2676B" w:rsidRDefault="007371C5" w:rsidP="00356AA0">
            <w:pPr>
              <w:jc w:val="center"/>
              <w:rPr>
                <w:rFonts w:ascii="Times New Roman" w:hAnsi="Times New Roman" w:cs="Times New Roman"/>
                <w:sz w:val="21"/>
                <w:szCs w:val="21"/>
              </w:rPr>
            </w:pPr>
          </w:p>
        </w:tc>
      </w:tr>
      <w:tr w:rsidR="007371C5" w:rsidRPr="00C2676B" w14:paraId="0D168C38" w14:textId="77777777" w:rsidTr="00356AA0">
        <w:trPr>
          <w:gridAfter w:val="1"/>
          <w:wAfter w:w="18" w:type="dxa"/>
        </w:trPr>
        <w:tc>
          <w:tcPr>
            <w:tcW w:w="3165" w:type="dxa"/>
            <w:tcBorders>
              <w:top w:val="nil"/>
              <w:bottom w:val="single" w:sz="4" w:space="0" w:color="auto"/>
              <w:right w:val="nil"/>
            </w:tcBorders>
            <w:tcMar>
              <w:left w:w="58" w:type="dxa"/>
              <w:right w:w="58" w:type="dxa"/>
            </w:tcMar>
          </w:tcPr>
          <w:p w14:paraId="4728045E"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Right Stria Terminalis/Fornix (QA)</w:t>
            </w:r>
          </w:p>
        </w:tc>
        <w:tc>
          <w:tcPr>
            <w:tcW w:w="216" w:type="dxa"/>
            <w:tcBorders>
              <w:top w:val="nil"/>
              <w:left w:val="nil"/>
              <w:bottom w:val="nil"/>
              <w:right w:val="nil"/>
            </w:tcBorders>
            <w:tcMar>
              <w:left w:w="58" w:type="dxa"/>
              <w:right w:w="58" w:type="dxa"/>
            </w:tcMar>
          </w:tcPr>
          <w:p w14:paraId="653C779E"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5BC5D0B2"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4EE436DF"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2419ECAB"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119925EE"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3B50CBB7"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5A4046C"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204A6E04"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626B4D91"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498BA3C5" w14:textId="77777777" w:rsidR="007371C5" w:rsidRPr="00C2676B" w:rsidRDefault="007371C5" w:rsidP="00356AA0">
            <w:pPr>
              <w:jc w:val="center"/>
              <w:rPr>
                <w:rFonts w:ascii="Times New Roman" w:hAnsi="Times New Roman" w:cs="Times New Roman"/>
                <w:sz w:val="21"/>
                <w:szCs w:val="21"/>
              </w:rPr>
            </w:pPr>
          </w:p>
        </w:tc>
      </w:tr>
      <w:tr w:rsidR="007371C5" w:rsidRPr="00C2676B" w14:paraId="2195EF59" w14:textId="77777777" w:rsidTr="00356AA0">
        <w:trPr>
          <w:gridAfter w:val="1"/>
          <w:wAfter w:w="18" w:type="dxa"/>
        </w:trPr>
        <w:tc>
          <w:tcPr>
            <w:tcW w:w="3165" w:type="dxa"/>
            <w:tcBorders>
              <w:top w:val="single" w:sz="4" w:space="0" w:color="auto"/>
              <w:bottom w:val="nil"/>
              <w:right w:val="nil"/>
            </w:tcBorders>
            <w:tcMar>
              <w:left w:w="58" w:type="dxa"/>
              <w:right w:w="58" w:type="dxa"/>
            </w:tcMar>
          </w:tcPr>
          <w:p w14:paraId="350DF70B"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Overall Model</w:t>
            </w:r>
          </w:p>
        </w:tc>
        <w:tc>
          <w:tcPr>
            <w:tcW w:w="216" w:type="dxa"/>
            <w:tcBorders>
              <w:top w:val="nil"/>
              <w:left w:val="nil"/>
              <w:bottom w:val="nil"/>
              <w:right w:val="nil"/>
            </w:tcBorders>
            <w:tcMar>
              <w:left w:w="58" w:type="dxa"/>
              <w:right w:w="58" w:type="dxa"/>
            </w:tcMar>
          </w:tcPr>
          <w:p w14:paraId="73CB2B66"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544CD00E"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7.151</w:t>
            </w:r>
          </w:p>
        </w:tc>
        <w:tc>
          <w:tcPr>
            <w:tcW w:w="216" w:type="dxa"/>
            <w:tcBorders>
              <w:top w:val="nil"/>
              <w:left w:val="nil"/>
              <w:bottom w:val="nil"/>
              <w:right w:val="nil"/>
            </w:tcBorders>
            <w:tcMar>
              <w:left w:w="58" w:type="dxa"/>
              <w:right w:w="58" w:type="dxa"/>
            </w:tcMar>
          </w:tcPr>
          <w:p w14:paraId="21D6876C"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3E160803"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&lt; 0.001*</w:t>
            </w:r>
          </w:p>
        </w:tc>
        <w:tc>
          <w:tcPr>
            <w:tcW w:w="216" w:type="dxa"/>
            <w:tcBorders>
              <w:top w:val="nil"/>
              <w:left w:val="nil"/>
              <w:bottom w:val="nil"/>
              <w:right w:val="nil"/>
            </w:tcBorders>
          </w:tcPr>
          <w:p w14:paraId="6E3E2365"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60E0BE65"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8F50754"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5B26E4C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E246AA7"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61C953B" w14:textId="77777777" w:rsidR="007371C5" w:rsidRPr="00C2676B" w:rsidRDefault="007371C5" w:rsidP="00356AA0">
            <w:pPr>
              <w:jc w:val="center"/>
              <w:rPr>
                <w:rFonts w:ascii="Times New Roman" w:hAnsi="Times New Roman" w:cs="Times New Roman"/>
                <w:sz w:val="21"/>
                <w:szCs w:val="21"/>
              </w:rPr>
            </w:pPr>
          </w:p>
        </w:tc>
      </w:tr>
      <w:tr w:rsidR="007371C5" w:rsidRPr="00C2676B" w14:paraId="61208631" w14:textId="77777777" w:rsidTr="00356AA0">
        <w:trPr>
          <w:gridAfter w:val="1"/>
          <w:wAfter w:w="18" w:type="dxa"/>
        </w:trPr>
        <w:tc>
          <w:tcPr>
            <w:tcW w:w="3165" w:type="dxa"/>
            <w:tcBorders>
              <w:top w:val="nil"/>
              <w:bottom w:val="nil"/>
              <w:right w:val="nil"/>
            </w:tcBorders>
            <w:tcMar>
              <w:left w:w="58" w:type="dxa"/>
              <w:right w:w="58" w:type="dxa"/>
            </w:tcMar>
          </w:tcPr>
          <w:p w14:paraId="100BE6ED"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Family income</w:t>
            </w:r>
          </w:p>
        </w:tc>
        <w:tc>
          <w:tcPr>
            <w:tcW w:w="216" w:type="dxa"/>
            <w:tcBorders>
              <w:top w:val="nil"/>
              <w:left w:val="nil"/>
              <w:bottom w:val="nil"/>
              <w:right w:val="nil"/>
            </w:tcBorders>
            <w:tcMar>
              <w:left w:w="58" w:type="dxa"/>
              <w:right w:w="58" w:type="dxa"/>
            </w:tcMar>
          </w:tcPr>
          <w:p w14:paraId="33A6D16A"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21BC95A5"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5AC58F04"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680C6F82"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401EAD03"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73E01D4F"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0.179</w:t>
            </w:r>
          </w:p>
        </w:tc>
        <w:tc>
          <w:tcPr>
            <w:tcW w:w="216" w:type="dxa"/>
            <w:tcBorders>
              <w:top w:val="nil"/>
              <w:left w:val="nil"/>
              <w:bottom w:val="nil"/>
              <w:right w:val="nil"/>
            </w:tcBorders>
            <w:tcMar>
              <w:left w:w="58" w:type="dxa"/>
              <w:right w:w="58" w:type="dxa"/>
            </w:tcMar>
          </w:tcPr>
          <w:p w14:paraId="77D15C01"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35C37964"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2.69</w:t>
            </w:r>
          </w:p>
        </w:tc>
        <w:tc>
          <w:tcPr>
            <w:tcW w:w="216" w:type="dxa"/>
            <w:tcBorders>
              <w:top w:val="nil"/>
              <w:left w:val="nil"/>
              <w:bottom w:val="nil"/>
              <w:right w:val="nil"/>
            </w:tcBorders>
          </w:tcPr>
          <w:p w14:paraId="2714C1E1"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625E9254"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0.008</w:t>
            </w:r>
          </w:p>
        </w:tc>
      </w:tr>
      <w:tr w:rsidR="007371C5" w:rsidRPr="00C2676B" w14:paraId="1C6B32B5" w14:textId="77777777" w:rsidTr="00356AA0">
        <w:trPr>
          <w:gridAfter w:val="1"/>
          <w:wAfter w:w="18" w:type="dxa"/>
        </w:trPr>
        <w:tc>
          <w:tcPr>
            <w:tcW w:w="3165" w:type="dxa"/>
            <w:tcBorders>
              <w:top w:val="nil"/>
              <w:bottom w:val="nil"/>
              <w:right w:val="nil"/>
            </w:tcBorders>
            <w:tcMar>
              <w:left w:w="58" w:type="dxa"/>
              <w:right w:w="58" w:type="dxa"/>
            </w:tcMar>
          </w:tcPr>
          <w:p w14:paraId="37C8F24C" w14:textId="77777777" w:rsidR="007371C5" w:rsidRPr="00C2676B" w:rsidRDefault="007371C5" w:rsidP="00356AA0">
            <w:pPr>
              <w:jc w:val="right"/>
              <w:rPr>
                <w:rFonts w:ascii="Times New Roman" w:hAnsi="Times New Roman" w:cs="Times New Roman"/>
                <w:sz w:val="21"/>
                <w:szCs w:val="21"/>
              </w:rPr>
            </w:pPr>
            <w:r w:rsidRPr="00C2676B">
              <w:rPr>
                <w:rFonts w:ascii="Times New Roman" w:hAnsi="Times New Roman" w:cs="Times New Roman"/>
                <w:sz w:val="21"/>
                <w:szCs w:val="21"/>
              </w:rPr>
              <w:t>Violence exposure</w:t>
            </w:r>
          </w:p>
        </w:tc>
        <w:tc>
          <w:tcPr>
            <w:tcW w:w="216" w:type="dxa"/>
            <w:tcBorders>
              <w:top w:val="nil"/>
              <w:left w:val="nil"/>
              <w:bottom w:val="nil"/>
              <w:right w:val="nil"/>
            </w:tcBorders>
            <w:tcMar>
              <w:left w:w="58" w:type="dxa"/>
              <w:right w:w="58" w:type="dxa"/>
            </w:tcMar>
          </w:tcPr>
          <w:p w14:paraId="3304280D"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4181376A"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537BC4C"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163F5A79"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177E838A"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6B8905B8"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-0.053</w:t>
            </w:r>
          </w:p>
        </w:tc>
        <w:tc>
          <w:tcPr>
            <w:tcW w:w="216" w:type="dxa"/>
            <w:tcBorders>
              <w:top w:val="nil"/>
              <w:left w:val="nil"/>
              <w:bottom w:val="nil"/>
              <w:right w:val="nil"/>
            </w:tcBorders>
            <w:tcMar>
              <w:left w:w="58" w:type="dxa"/>
              <w:right w:w="58" w:type="dxa"/>
            </w:tcMar>
          </w:tcPr>
          <w:p w14:paraId="02AD53B7"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4E714E4C"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-0.778</w:t>
            </w:r>
          </w:p>
        </w:tc>
        <w:tc>
          <w:tcPr>
            <w:tcW w:w="216" w:type="dxa"/>
            <w:tcBorders>
              <w:top w:val="nil"/>
              <w:left w:val="nil"/>
              <w:bottom w:val="nil"/>
              <w:right w:val="nil"/>
            </w:tcBorders>
          </w:tcPr>
          <w:p w14:paraId="6BD5AA00"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7EE7C486" w14:textId="77777777" w:rsidR="007371C5" w:rsidRPr="00C2676B" w:rsidRDefault="007371C5" w:rsidP="00356AA0">
            <w:pPr>
              <w:jc w:val="center"/>
              <w:rPr>
                <w:rFonts w:ascii="Times New Roman" w:hAnsi="Times New Roman" w:cs="Times New Roman"/>
                <w:sz w:val="21"/>
                <w:szCs w:val="21"/>
              </w:rPr>
            </w:pPr>
            <w:r w:rsidRPr="00C2676B">
              <w:rPr>
                <w:rFonts w:ascii="Times New Roman" w:hAnsi="Times New Roman" w:cs="Times New Roman"/>
                <w:sz w:val="21"/>
                <w:szCs w:val="21"/>
              </w:rPr>
              <w:t>0.437</w:t>
            </w:r>
          </w:p>
        </w:tc>
      </w:tr>
      <w:tr w:rsidR="007371C5" w:rsidRPr="00C2676B" w14:paraId="2413F94D" w14:textId="77777777" w:rsidTr="00356AA0">
        <w:trPr>
          <w:gridAfter w:val="1"/>
          <w:wAfter w:w="18" w:type="dxa"/>
        </w:trPr>
        <w:tc>
          <w:tcPr>
            <w:tcW w:w="3165" w:type="dxa"/>
            <w:tcBorders>
              <w:top w:val="nil"/>
              <w:bottom w:val="nil"/>
              <w:right w:val="nil"/>
            </w:tcBorders>
            <w:tcMar>
              <w:left w:w="58" w:type="dxa"/>
              <w:right w:w="58" w:type="dxa"/>
            </w:tcMar>
          </w:tcPr>
          <w:p w14:paraId="5784FE21" w14:textId="77777777" w:rsidR="007371C5" w:rsidRPr="00C2676B" w:rsidRDefault="007371C5" w:rsidP="00356AA0">
            <w:pPr>
              <w:jc w:val="right"/>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416108E" w14:textId="77777777" w:rsidR="007371C5" w:rsidRPr="00C2676B" w:rsidRDefault="007371C5" w:rsidP="00356AA0">
            <w:pPr>
              <w:rPr>
                <w:rFonts w:ascii="Times New Roman" w:hAnsi="Times New Roman" w:cs="Times New Roman"/>
                <w:sz w:val="21"/>
                <w:szCs w:val="21"/>
              </w:rPr>
            </w:pPr>
          </w:p>
        </w:tc>
        <w:tc>
          <w:tcPr>
            <w:tcW w:w="1080" w:type="dxa"/>
            <w:tcBorders>
              <w:top w:val="nil"/>
              <w:left w:val="nil"/>
              <w:bottom w:val="nil"/>
              <w:right w:val="nil"/>
            </w:tcBorders>
            <w:tcMar>
              <w:left w:w="58" w:type="dxa"/>
              <w:right w:w="58" w:type="dxa"/>
            </w:tcMar>
          </w:tcPr>
          <w:p w14:paraId="7D85E5E2"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14D10830"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right w:val="nil"/>
            </w:tcBorders>
          </w:tcPr>
          <w:p w14:paraId="3233E14B"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0B56DB82" w14:textId="77777777" w:rsidR="007371C5" w:rsidRPr="00C2676B" w:rsidRDefault="007371C5" w:rsidP="00356AA0">
            <w:pPr>
              <w:jc w:val="center"/>
              <w:rPr>
                <w:rFonts w:ascii="Times New Roman" w:hAnsi="Times New Roman" w:cs="Times New Roman"/>
                <w:sz w:val="21"/>
                <w:szCs w:val="21"/>
              </w:rPr>
            </w:pPr>
          </w:p>
        </w:tc>
        <w:tc>
          <w:tcPr>
            <w:tcW w:w="864" w:type="dxa"/>
            <w:tcBorders>
              <w:top w:val="nil"/>
              <w:left w:val="nil"/>
              <w:bottom w:val="nil"/>
              <w:right w:val="nil"/>
            </w:tcBorders>
            <w:tcMar>
              <w:left w:w="58" w:type="dxa"/>
              <w:right w:w="58" w:type="dxa"/>
            </w:tcMar>
          </w:tcPr>
          <w:p w14:paraId="1E2FB4DD"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Mar>
              <w:left w:w="58" w:type="dxa"/>
              <w:right w:w="58" w:type="dxa"/>
            </w:tcMar>
          </w:tcPr>
          <w:p w14:paraId="273A4353" w14:textId="77777777" w:rsidR="007371C5" w:rsidRPr="00C2676B" w:rsidRDefault="007371C5" w:rsidP="00356AA0">
            <w:pPr>
              <w:jc w:val="center"/>
              <w:rPr>
                <w:rFonts w:ascii="Times New Roman" w:hAnsi="Times New Roman" w:cs="Times New Roman"/>
                <w:sz w:val="21"/>
                <w:szCs w:val="21"/>
              </w:rPr>
            </w:pPr>
          </w:p>
        </w:tc>
        <w:tc>
          <w:tcPr>
            <w:tcW w:w="1368" w:type="dxa"/>
            <w:tcBorders>
              <w:top w:val="nil"/>
              <w:left w:val="nil"/>
              <w:bottom w:val="nil"/>
              <w:right w:val="nil"/>
            </w:tcBorders>
            <w:tcMar>
              <w:left w:w="58" w:type="dxa"/>
              <w:right w:w="58" w:type="dxa"/>
            </w:tcMar>
          </w:tcPr>
          <w:p w14:paraId="0135941C" w14:textId="77777777" w:rsidR="007371C5" w:rsidRPr="00C2676B" w:rsidRDefault="007371C5" w:rsidP="00356AA0">
            <w:pPr>
              <w:jc w:val="center"/>
              <w:rPr>
                <w:rFonts w:ascii="Times New Roman" w:hAnsi="Times New Roman" w:cs="Times New Roman"/>
                <w:sz w:val="21"/>
                <w:szCs w:val="21"/>
              </w:rPr>
            </w:pPr>
          </w:p>
        </w:tc>
        <w:tc>
          <w:tcPr>
            <w:tcW w:w="216" w:type="dxa"/>
            <w:tcBorders>
              <w:top w:val="nil"/>
              <w:left w:val="nil"/>
              <w:bottom w:val="nil"/>
              <w:right w:val="nil"/>
            </w:tcBorders>
          </w:tcPr>
          <w:p w14:paraId="7F7F9830" w14:textId="77777777" w:rsidR="007371C5" w:rsidRPr="00C2676B" w:rsidRDefault="007371C5" w:rsidP="00356AA0">
            <w:pPr>
              <w:jc w:val="center"/>
              <w:rPr>
                <w:rFonts w:ascii="Times New Roman" w:hAnsi="Times New Roman" w:cs="Times New Roman"/>
                <w:sz w:val="21"/>
                <w:szCs w:val="21"/>
              </w:rPr>
            </w:pPr>
          </w:p>
        </w:tc>
        <w:tc>
          <w:tcPr>
            <w:tcW w:w="1080" w:type="dxa"/>
            <w:tcBorders>
              <w:top w:val="nil"/>
              <w:left w:val="nil"/>
              <w:bottom w:val="nil"/>
            </w:tcBorders>
          </w:tcPr>
          <w:p w14:paraId="5CFE551C" w14:textId="77777777" w:rsidR="007371C5" w:rsidRPr="00C2676B" w:rsidRDefault="007371C5" w:rsidP="00356AA0">
            <w:pPr>
              <w:jc w:val="center"/>
              <w:rPr>
                <w:rFonts w:ascii="Times New Roman" w:hAnsi="Times New Roman" w:cs="Times New Roman"/>
                <w:sz w:val="21"/>
                <w:szCs w:val="21"/>
              </w:rPr>
            </w:pPr>
          </w:p>
        </w:tc>
      </w:tr>
      <w:tr w:rsidR="007371C5" w:rsidRPr="00C2676B" w14:paraId="68CDB14C" w14:textId="77777777" w:rsidTr="00356AA0">
        <w:tc>
          <w:tcPr>
            <w:tcW w:w="9735" w:type="dxa"/>
            <w:gridSpan w:val="12"/>
            <w:tcBorders>
              <w:top w:val="single" w:sz="4" w:space="0" w:color="auto"/>
            </w:tcBorders>
            <w:tcMar>
              <w:left w:w="58" w:type="dxa"/>
              <w:right w:w="58" w:type="dxa"/>
            </w:tcMar>
          </w:tcPr>
          <w:p w14:paraId="2D4FC88E" w14:textId="77777777" w:rsidR="007371C5" w:rsidRPr="00C2676B" w:rsidRDefault="007371C5" w:rsidP="00356AA0">
            <w:pPr>
              <w:rPr>
                <w:rFonts w:ascii="Times New Roman" w:hAnsi="Times New Roman" w:cs="Times New Roman"/>
                <w:sz w:val="21"/>
                <w:szCs w:val="21"/>
              </w:rPr>
            </w:pPr>
            <w:r w:rsidRPr="00C2676B">
              <w:rPr>
                <w:rFonts w:ascii="Times New Roman" w:hAnsi="Times New Roman" w:cs="Times New Roman"/>
                <w:i/>
                <w:sz w:val="21"/>
                <w:szCs w:val="21"/>
              </w:rPr>
              <w:t>Note</w:t>
            </w:r>
            <w:r w:rsidRPr="00C2676B">
              <w:rPr>
                <w:rFonts w:ascii="Times New Roman" w:hAnsi="Times New Roman" w:cs="Times New Roman"/>
                <w:sz w:val="21"/>
                <w:szCs w:val="21"/>
              </w:rPr>
              <w:t xml:space="preserve">: Linear regressions predicting quantitative anisotropy (QA) from T1 family income and violence exposure. F-statistics indicating the significance of each overall model are reported. Standardized beta values are presented. Cingulum bundle n = 287, Uncinate fasciculus n = 266, Stria terminalis/fornix n = 232. </w:t>
            </w:r>
          </w:p>
        </w:tc>
      </w:tr>
    </w:tbl>
    <w:p w14:paraId="07C62FA9" w14:textId="77777777" w:rsidR="007371C5" w:rsidRDefault="007371C5">
      <w:pPr>
        <w:rPr>
          <w:rFonts w:ascii="Times New Roman" w:hAnsi="Times New Roman" w:cs="Times New Roman"/>
          <w:b/>
          <w:bCs/>
        </w:rPr>
      </w:pPr>
    </w:p>
    <w:p w14:paraId="35625707" w14:textId="284204FD" w:rsidR="007371C5" w:rsidRDefault="007371C5">
      <w:pPr>
        <w:rPr>
          <w:rFonts w:ascii="Times New Roman" w:hAnsi="Times New Roman" w:cs="Times New Roman"/>
          <w:b/>
          <w:bCs/>
        </w:rPr>
      </w:pPr>
      <w:r>
        <w:rPr>
          <w:rFonts w:ascii="Times New Roman" w:hAnsi="Times New Roman" w:cs="Times New Roman"/>
          <w:b/>
          <w:bCs/>
        </w:rPr>
        <w:br w:type="page"/>
      </w:r>
    </w:p>
    <w:p w14:paraId="47B9794F" w14:textId="77777777" w:rsidR="007371C5" w:rsidRDefault="007371C5">
      <w:pPr>
        <w:rPr>
          <w:rFonts w:ascii="Times New Roman" w:hAnsi="Times New Roman" w:cs="Times New Roman"/>
          <w:b/>
          <w:bCs/>
        </w:rPr>
      </w:pPr>
    </w:p>
    <w:tbl>
      <w:tblPr>
        <w:tblStyle w:val="TableGrid"/>
        <w:tblpPr w:leftFromText="180" w:rightFromText="180" w:vertAnchor="text" w:horzAnchor="margin" w:tblpY="77"/>
        <w:tblW w:w="0" w:type="auto"/>
        <w:tblBorders>
          <w:top w:val="none" w:sz="0" w:space="0" w:color="auto"/>
          <w:left w:val="none" w:sz="0" w:space="0" w:color="auto"/>
          <w:bottom w:val="none" w:sz="0" w:space="0" w:color="auto"/>
          <w:right w:val="none" w:sz="0" w:space="0" w:color="auto"/>
        </w:tblBorders>
        <w:tblLayout w:type="fixed"/>
        <w:tblCellMar>
          <w:left w:w="58" w:type="dxa"/>
          <w:right w:w="58" w:type="dxa"/>
        </w:tblCellMar>
        <w:tblLook w:val="04A0" w:firstRow="1" w:lastRow="0" w:firstColumn="1" w:lastColumn="0" w:noHBand="0" w:noVBand="1"/>
      </w:tblPr>
      <w:tblGrid>
        <w:gridCol w:w="2960"/>
        <w:gridCol w:w="216"/>
        <w:gridCol w:w="1080"/>
        <w:gridCol w:w="216"/>
        <w:gridCol w:w="1080"/>
        <w:gridCol w:w="216"/>
        <w:gridCol w:w="864"/>
        <w:gridCol w:w="216"/>
        <w:gridCol w:w="1080"/>
        <w:gridCol w:w="216"/>
        <w:gridCol w:w="1036"/>
        <w:gridCol w:w="44"/>
      </w:tblGrid>
      <w:tr w:rsidR="007371C5" w:rsidRPr="00C2676B" w14:paraId="5AC838CB" w14:textId="77777777" w:rsidTr="00356AA0">
        <w:trPr>
          <w:gridAfter w:val="1"/>
          <w:wAfter w:w="44" w:type="dxa"/>
        </w:trPr>
        <w:tc>
          <w:tcPr>
            <w:tcW w:w="9180" w:type="dxa"/>
            <w:gridSpan w:val="11"/>
            <w:tcBorders>
              <w:bottom w:val="single" w:sz="4" w:space="0" w:color="auto"/>
            </w:tcBorders>
            <w:tcMar>
              <w:left w:w="58" w:type="dxa"/>
              <w:right w:w="58" w:type="dxa"/>
            </w:tcMar>
          </w:tcPr>
          <w:p w14:paraId="71015289" w14:textId="77777777" w:rsidR="007371C5" w:rsidRPr="00C2676B" w:rsidRDefault="007371C5" w:rsidP="00356AA0">
            <w:pPr>
              <w:rPr>
                <w:rFonts w:ascii="Times New Roman" w:hAnsi="Times New Roman" w:cs="Times New Roman"/>
                <w:sz w:val="19"/>
                <w:szCs w:val="19"/>
              </w:rPr>
            </w:pPr>
            <w:r>
              <w:rPr>
                <w:rFonts w:ascii="Times New Roman" w:hAnsi="Times New Roman" w:cs="Times New Roman"/>
                <w:sz w:val="19"/>
                <w:szCs w:val="19"/>
              </w:rPr>
              <w:t xml:space="preserve">Supplementary </w:t>
            </w:r>
            <w:r w:rsidRPr="00C2676B">
              <w:rPr>
                <w:rFonts w:ascii="Times New Roman" w:hAnsi="Times New Roman" w:cs="Times New Roman"/>
                <w:sz w:val="19"/>
                <w:szCs w:val="19"/>
              </w:rPr>
              <w:t xml:space="preserve">Table </w:t>
            </w:r>
            <w:r>
              <w:rPr>
                <w:rFonts w:ascii="Times New Roman" w:hAnsi="Times New Roman" w:cs="Times New Roman"/>
                <w:sz w:val="19"/>
                <w:szCs w:val="19"/>
              </w:rPr>
              <w:t>S3</w:t>
            </w:r>
            <w:r w:rsidRPr="00C2676B">
              <w:rPr>
                <w:rFonts w:ascii="Times New Roman" w:hAnsi="Times New Roman" w:cs="Times New Roman"/>
                <w:sz w:val="19"/>
                <w:szCs w:val="19"/>
              </w:rPr>
              <w:t xml:space="preserve">. Results of </w:t>
            </w:r>
            <w:r>
              <w:rPr>
                <w:rFonts w:ascii="Times New Roman" w:hAnsi="Times New Roman" w:cs="Times New Roman"/>
                <w:sz w:val="19"/>
                <w:szCs w:val="19"/>
              </w:rPr>
              <w:t xml:space="preserve">regressions </w:t>
            </w:r>
            <w:r w:rsidRPr="00C2676B">
              <w:rPr>
                <w:rFonts w:ascii="Times New Roman" w:hAnsi="Times New Roman" w:cs="Times New Roman"/>
                <w:sz w:val="19"/>
                <w:szCs w:val="19"/>
              </w:rPr>
              <w:t>predicting QA from family income, neighborhood disadvantage, and violence exposure</w:t>
            </w:r>
            <w:r>
              <w:rPr>
                <w:rFonts w:ascii="Times New Roman" w:hAnsi="Times New Roman" w:cs="Times New Roman"/>
                <w:sz w:val="19"/>
                <w:szCs w:val="19"/>
              </w:rPr>
              <w:t xml:space="preserve"> for six tracts</w:t>
            </w:r>
          </w:p>
        </w:tc>
      </w:tr>
      <w:tr w:rsidR="007371C5" w:rsidRPr="00C2676B" w14:paraId="255139A6" w14:textId="77777777" w:rsidTr="00356AA0">
        <w:tc>
          <w:tcPr>
            <w:tcW w:w="2960" w:type="dxa"/>
            <w:tcBorders>
              <w:top w:val="single" w:sz="4" w:space="0" w:color="auto"/>
              <w:bottom w:val="nil"/>
              <w:right w:val="nil"/>
            </w:tcBorders>
            <w:tcMar>
              <w:left w:w="58" w:type="dxa"/>
              <w:right w:w="58" w:type="dxa"/>
            </w:tcMar>
          </w:tcPr>
          <w:p w14:paraId="4E37BAA8" w14:textId="77777777" w:rsidR="007371C5" w:rsidRPr="00C2676B" w:rsidRDefault="007371C5" w:rsidP="00356AA0">
            <w:pPr>
              <w:rPr>
                <w:rFonts w:ascii="Times New Roman" w:hAnsi="Times New Roman" w:cs="Times New Roman"/>
                <w:sz w:val="19"/>
                <w:szCs w:val="19"/>
              </w:rPr>
            </w:pPr>
          </w:p>
        </w:tc>
        <w:tc>
          <w:tcPr>
            <w:tcW w:w="216" w:type="dxa"/>
            <w:tcBorders>
              <w:top w:val="single" w:sz="4" w:space="0" w:color="auto"/>
              <w:left w:val="nil"/>
              <w:bottom w:val="nil"/>
              <w:right w:val="nil"/>
            </w:tcBorders>
            <w:tcMar>
              <w:left w:w="58" w:type="dxa"/>
              <w:right w:w="58" w:type="dxa"/>
            </w:tcMar>
          </w:tcPr>
          <w:p w14:paraId="4B00A2FC" w14:textId="77777777" w:rsidR="007371C5" w:rsidRPr="00C2676B" w:rsidRDefault="007371C5" w:rsidP="00356AA0">
            <w:pPr>
              <w:rPr>
                <w:rFonts w:ascii="Times New Roman" w:hAnsi="Times New Roman" w:cs="Times New Roman"/>
                <w:sz w:val="19"/>
                <w:szCs w:val="19"/>
              </w:rPr>
            </w:pPr>
          </w:p>
        </w:tc>
        <w:tc>
          <w:tcPr>
            <w:tcW w:w="1080" w:type="dxa"/>
            <w:tcBorders>
              <w:top w:val="single" w:sz="4" w:space="0" w:color="auto"/>
              <w:left w:val="nil"/>
              <w:bottom w:val="single" w:sz="4" w:space="0" w:color="auto"/>
              <w:right w:val="nil"/>
            </w:tcBorders>
            <w:tcMar>
              <w:left w:w="58" w:type="dxa"/>
              <w:right w:w="58" w:type="dxa"/>
            </w:tcMar>
          </w:tcPr>
          <w:p w14:paraId="72798339"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F-statistic</w:t>
            </w:r>
          </w:p>
        </w:tc>
        <w:tc>
          <w:tcPr>
            <w:tcW w:w="216" w:type="dxa"/>
            <w:tcBorders>
              <w:top w:val="single" w:sz="4" w:space="0" w:color="auto"/>
              <w:left w:val="nil"/>
              <w:bottom w:val="nil"/>
              <w:right w:val="nil"/>
            </w:tcBorders>
            <w:tcMar>
              <w:left w:w="58" w:type="dxa"/>
              <w:right w:w="58" w:type="dxa"/>
            </w:tcMar>
          </w:tcPr>
          <w:p w14:paraId="3AAC0E34" w14:textId="77777777" w:rsidR="007371C5" w:rsidRPr="00C2676B" w:rsidRDefault="007371C5" w:rsidP="00356AA0">
            <w:pPr>
              <w:jc w:val="center"/>
              <w:rPr>
                <w:rFonts w:ascii="Times New Roman" w:hAnsi="Times New Roman" w:cs="Times New Roman"/>
                <w:sz w:val="19"/>
                <w:szCs w:val="19"/>
              </w:rPr>
            </w:pPr>
          </w:p>
        </w:tc>
        <w:tc>
          <w:tcPr>
            <w:tcW w:w="1080" w:type="dxa"/>
            <w:tcBorders>
              <w:top w:val="single" w:sz="4" w:space="0" w:color="auto"/>
              <w:left w:val="nil"/>
              <w:bottom w:val="single" w:sz="4" w:space="0" w:color="auto"/>
              <w:right w:val="nil"/>
            </w:tcBorders>
          </w:tcPr>
          <w:p w14:paraId="75A9BB53"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i/>
                <w:iCs/>
                <w:sz w:val="19"/>
                <w:szCs w:val="19"/>
              </w:rPr>
              <w:t>p</w:t>
            </w:r>
            <w:r w:rsidRPr="00C2676B">
              <w:rPr>
                <w:rFonts w:ascii="Times New Roman" w:hAnsi="Times New Roman" w:cs="Times New Roman"/>
                <w:sz w:val="19"/>
                <w:szCs w:val="19"/>
              </w:rPr>
              <w:t>-value</w:t>
            </w:r>
          </w:p>
        </w:tc>
        <w:tc>
          <w:tcPr>
            <w:tcW w:w="216" w:type="dxa"/>
            <w:tcBorders>
              <w:top w:val="single" w:sz="4" w:space="0" w:color="auto"/>
              <w:left w:val="nil"/>
              <w:bottom w:val="nil"/>
              <w:right w:val="nil"/>
            </w:tcBorders>
          </w:tcPr>
          <w:p w14:paraId="0B846893" w14:textId="77777777" w:rsidR="007371C5" w:rsidRPr="00C2676B" w:rsidRDefault="007371C5" w:rsidP="00356AA0">
            <w:pPr>
              <w:jc w:val="center"/>
              <w:rPr>
                <w:rFonts w:ascii="Times New Roman" w:hAnsi="Times New Roman" w:cs="Times New Roman"/>
                <w:sz w:val="19"/>
                <w:szCs w:val="19"/>
              </w:rPr>
            </w:pPr>
          </w:p>
        </w:tc>
        <w:tc>
          <w:tcPr>
            <w:tcW w:w="864" w:type="dxa"/>
            <w:tcBorders>
              <w:top w:val="single" w:sz="4" w:space="0" w:color="auto"/>
              <w:left w:val="nil"/>
              <w:bottom w:val="single" w:sz="4" w:space="0" w:color="auto"/>
              <w:right w:val="nil"/>
            </w:tcBorders>
            <w:tcMar>
              <w:left w:w="58" w:type="dxa"/>
              <w:right w:w="58" w:type="dxa"/>
            </w:tcMar>
          </w:tcPr>
          <w:p w14:paraId="71AC87F8"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β</w:t>
            </w:r>
          </w:p>
        </w:tc>
        <w:tc>
          <w:tcPr>
            <w:tcW w:w="216" w:type="dxa"/>
            <w:tcBorders>
              <w:top w:val="single" w:sz="4" w:space="0" w:color="auto"/>
              <w:left w:val="nil"/>
              <w:bottom w:val="nil"/>
              <w:right w:val="nil"/>
            </w:tcBorders>
            <w:tcMar>
              <w:left w:w="58" w:type="dxa"/>
              <w:right w:w="58" w:type="dxa"/>
            </w:tcMar>
          </w:tcPr>
          <w:p w14:paraId="02E93A9F" w14:textId="77777777" w:rsidR="007371C5" w:rsidRPr="00C2676B" w:rsidRDefault="007371C5" w:rsidP="00356AA0">
            <w:pPr>
              <w:jc w:val="center"/>
              <w:rPr>
                <w:rFonts w:ascii="Times New Roman" w:hAnsi="Times New Roman" w:cs="Times New Roman"/>
                <w:sz w:val="19"/>
                <w:szCs w:val="19"/>
              </w:rPr>
            </w:pPr>
          </w:p>
        </w:tc>
        <w:tc>
          <w:tcPr>
            <w:tcW w:w="1080" w:type="dxa"/>
            <w:tcBorders>
              <w:top w:val="single" w:sz="4" w:space="0" w:color="auto"/>
              <w:left w:val="nil"/>
              <w:bottom w:val="single" w:sz="4" w:space="0" w:color="auto"/>
              <w:right w:val="nil"/>
            </w:tcBorders>
            <w:tcMar>
              <w:left w:w="58" w:type="dxa"/>
              <w:right w:w="58" w:type="dxa"/>
            </w:tcMar>
          </w:tcPr>
          <w:p w14:paraId="487A8D40"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t-value</w:t>
            </w:r>
          </w:p>
        </w:tc>
        <w:tc>
          <w:tcPr>
            <w:tcW w:w="216" w:type="dxa"/>
            <w:tcBorders>
              <w:top w:val="single" w:sz="4" w:space="0" w:color="auto"/>
              <w:left w:val="nil"/>
              <w:bottom w:val="nil"/>
              <w:right w:val="nil"/>
            </w:tcBorders>
          </w:tcPr>
          <w:p w14:paraId="20899F87"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single" w:sz="4" w:space="0" w:color="auto"/>
              <w:left w:val="nil"/>
              <w:bottom w:val="single" w:sz="4" w:space="0" w:color="auto"/>
            </w:tcBorders>
          </w:tcPr>
          <w:p w14:paraId="5AB9CF44"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i/>
                <w:iCs/>
                <w:sz w:val="19"/>
                <w:szCs w:val="19"/>
              </w:rPr>
              <w:t>p</w:t>
            </w:r>
            <w:r w:rsidRPr="00C2676B">
              <w:rPr>
                <w:rFonts w:ascii="Times New Roman" w:hAnsi="Times New Roman" w:cs="Times New Roman"/>
                <w:sz w:val="19"/>
                <w:szCs w:val="19"/>
              </w:rPr>
              <w:t>-value</w:t>
            </w:r>
          </w:p>
        </w:tc>
      </w:tr>
      <w:tr w:rsidR="007371C5" w:rsidRPr="00C2676B" w14:paraId="78A6C9FE" w14:textId="77777777" w:rsidTr="00356AA0">
        <w:tc>
          <w:tcPr>
            <w:tcW w:w="2960" w:type="dxa"/>
            <w:tcBorders>
              <w:top w:val="nil"/>
              <w:bottom w:val="single" w:sz="4" w:space="0" w:color="auto"/>
              <w:right w:val="nil"/>
            </w:tcBorders>
            <w:tcMar>
              <w:left w:w="58" w:type="dxa"/>
              <w:right w:w="58" w:type="dxa"/>
            </w:tcMar>
          </w:tcPr>
          <w:p w14:paraId="381D55E5"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sz w:val="19"/>
                <w:szCs w:val="19"/>
              </w:rPr>
              <w:t>Left Cingulum Bundle (QA)</w:t>
            </w:r>
          </w:p>
        </w:tc>
        <w:tc>
          <w:tcPr>
            <w:tcW w:w="216" w:type="dxa"/>
            <w:tcBorders>
              <w:top w:val="nil"/>
              <w:left w:val="nil"/>
              <w:bottom w:val="nil"/>
              <w:right w:val="nil"/>
            </w:tcBorders>
            <w:tcMar>
              <w:left w:w="58" w:type="dxa"/>
              <w:right w:w="58" w:type="dxa"/>
            </w:tcMar>
          </w:tcPr>
          <w:p w14:paraId="5874FBB2"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AE8BCC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D9EBAFD"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D786B8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0FC2F2F1"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44EEBEA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613C703"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FC66B2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4A086478"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F033220" w14:textId="77777777" w:rsidR="007371C5" w:rsidRPr="00C2676B" w:rsidRDefault="007371C5" w:rsidP="00356AA0">
            <w:pPr>
              <w:jc w:val="center"/>
              <w:rPr>
                <w:rFonts w:ascii="Times New Roman" w:hAnsi="Times New Roman" w:cs="Times New Roman"/>
                <w:sz w:val="19"/>
                <w:szCs w:val="19"/>
              </w:rPr>
            </w:pPr>
          </w:p>
        </w:tc>
      </w:tr>
      <w:tr w:rsidR="007371C5" w:rsidRPr="00C2676B" w14:paraId="74725635" w14:textId="77777777" w:rsidTr="00356AA0">
        <w:tc>
          <w:tcPr>
            <w:tcW w:w="2960" w:type="dxa"/>
            <w:tcBorders>
              <w:top w:val="single" w:sz="4" w:space="0" w:color="auto"/>
              <w:bottom w:val="nil"/>
              <w:right w:val="nil"/>
            </w:tcBorders>
            <w:tcMar>
              <w:left w:w="58" w:type="dxa"/>
              <w:right w:w="58" w:type="dxa"/>
            </w:tcMar>
          </w:tcPr>
          <w:p w14:paraId="31A00358"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Overall Model</w:t>
            </w:r>
          </w:p>
        </w:tc>
        <w:tc>
          <w:tcPr>
            <w:tcW w:w="216" w:type="dxa"/>
            <w:tcBorders>
              <w:top w:val="nil"/>
              <w:left w:val="nil"/>
              <w:bottom w:val="nil"/>
              <w:right w:val="nil"/>
            </w:tcBorders>
            <w:tcMar>
              <w:left w:w="58" w:type="dxa"/>
              <w:right w:w="58" w:type="dxa"/>
            </w:tcMar>
          </w:tcPr>
          <w:p w14:paraId="62AD1A5D"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5D941FF"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18.30</w:t>
            </w:r>
          </w:p>
        </w:tc>
        <w:tc>
          <w:tcPr>
            <w:tcW w:w="216" w:type="dxa"/>
            <w:tcBorders>
              <w:top w:val="nil"/>
              <w:left w:val="nil"/>
              <w:bottom w:val="nil"/>
              <w:right w:val="nil"/>
            </w:tcBorders>
            <w:tcMar>
              <w:left w:w="58" w:type="dxa"/>
              <w:right w:w="58" w:type="dxa"/>
            </w:tcMar>
          </w:tcPr>
          <w:p w14:paraId="1AC58FCF"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282AA635"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&lt; 0.001*</w:t>
            </w:r>
          </w:p>
        </w:tc>
        <w:tc>
          <w:tcPr>
            <w:tcW w:w="216" w:type="dxa"/>
            <w:tcBorders>
              <w:top w:val="nil"/>
              <w:left w:val="nil"/>
              <w:bottom w:val="nil"/>
              <w:right w:val="nil"/>
            </w:tcBorders>
          </w:tcPr>
          <w:p w14:paraId="073706F7"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512DEAF"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FF5DF2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67FA80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A5CDBFE"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77090DE" w14:textId="77777777" w:rsidR="007371C5" w:rsidRPr="00C2676B" w:rsidRDefault="007371C5" w:rsidP="00356AA0">
            <w:pPr>
              <w:jc w:val="center"/>
              <w:rPr>
                <w:rFonts w:ascii="Times New Roman" w:hAnsi="Times New Roman" w:cs="Times New Roman"/>
                <w:sz w:val="19"/>
                <w:szCs w:val="19"/>
              </w:rPr>
            </w:pPr>
          </w:p>
        </w:tc>
      </w:tr>
      <w:tr w:rsidR="007371C5" w:rsidRPr="00C2676B" w14:paraId="74D147B5" w14:textId="77777777" w:rsidTr="00356AA0">
        <w:tc>
          <w:tcPr>
            <w:tcW w:w="2960" w:type="dxa"/>
            <w:tcBorders>
              <w:top w:val="nil"/>
              <w:bottom w:val="nil"/>
              <w:right w:val="nil"/>
            </w:tcBorders>
            <w:tcMar>
              <w:left w:w="58" w:type="dxa"/>
              <w:right w:w="58" w:type="dxa"/>
            </w:tcMar>
          </w:tcPr>
          <w:p w14:paraId="61622CFB"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Family income</w:t>
            </w:r>
          </w:p>
        </w:tc>
        <w:tc>
          <w:tcPr>
            <w:tcW w:w="216" w:type="dxa"/>
            <w:tcBorders>
              <w:top w:val="nil"/>
              <w:left w:val="nil"/>
              <w:bottom w:val="nil"/>
              <w:right w:val="nil"/>
            </w:tcBorders>
            <w:tcMar>
              <w:left w:w="58" w:type="dxa"/>
              <w:right w:w="58" w:type="dxa"/>
            </w:tcMar>
          </w:tcPr>
          <w:p w14:paraId="0E649199"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43324A1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B510DF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6F91FD72"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4EB4DF25"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0BE17B77"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0.087</w:t>
            </w:r>
          </w:p>
        </w:tc>
        <w:tc>
          <w:tcPr>
            <w:tcW w:w="216" w:type="dxa"/>
            <w:tcBorders>
              <w:top w:val="nil"/>
              <w:left w:val="nil"/>
              <w:bottom w:val="nil"/>
              <w:right w:val="nil"/>
            </w:tcBorders>
            <w:tcMar>
              <w:left w:w="58" w:type="dxa"/>
              <w:right w:w="58" w:type="dxa"/>
            </w:tcMar>
          </w:tcPr>
          <w:p w14:paraId="644A42B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FEE796B"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1.32</w:t>
            </w:r>
          </w:p>
        </w:tc>
        <w:tc>
          <w:tcPr>
            <w:tcW w:w="216" w:type="dxa"/>
            <w:tcBorders>
              <w:top w:val="nil"/>
              <w:left w:val="nil"/>
              <w:bottom w:val="nil"/>
              <w:right w:val="nil"/>
            </w:tcBorders>
          </w:tcPr>
          <w:p w14:paraId="4AB4B8EA"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1226C7F2"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0.189</w:t>
            </w:r>
          </w:p>
        </w:tc>
      </w:tr>
      <w:tr w:rsidR="007371C5" w:rsidRPr="00C2676B" w14:paraId="5CFD8FCF" w14:textId="77777777" w:rsidTr="00356AA0">
        <w:tc>
          <w:tcPr>
            <w:tcW w:w="2960" w:type="dxa"/>
            <w:tcBorders>
              <w:top w:val="nil"/>
              <w:bottom w:val="nil"/>
              <w:right w:val="nil"/>
            </w:tcBorders>
            <w:tcMar>
              <w:left w:w="58" w:type="dxa"/>
              <w:right w:w="58" w:type="dxa"/>
            </w:tcMar>
          </w:tcPr>
          <w:p w14:paraId="1BB8DED2"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Neighborhood disadvantage</w:t>
            </w:r>
          </w:p>
        </w:tc>
        <w:tc>
          <w:tcPr>
            <w:tcW w:w="216" w:type="dxa"/>
            <w:tcBorders>
              <w:top w:val="nil"/>
              <w:left w:val="nil"/>
              <w:bottom w:val="nil"/>
              <w:right w:val="nil"/>
            </w:tcBorders>
            <w:tcMar>
              <w:left w:w="58" w:type="dxa"/>
              <w:right w:w="58" w:type="dxa"/>
            </w:tcMar>
          </w:tcPr>
          <w:p w14:paraId="1E48DFB4"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6CBAC5D1"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443E36D"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4B78BA3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18CC637"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409D1DF2"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-0.098</w:t>
            </w:r>
          </w:p>
        </w:tc>
        <w:tc>
          <w:tcPr>
            <w:tcW w:w="216" w:type="dxa"/>
            <w:tcBorders>
              <w:top w:val="nil"/>
              <w:left w:val="nil"/>
              <w:bottom w:val="nil"/>
              <w:right w:val="nil"/>
            </w:tcBorders>
            <w:tcMar>
              <w:left w:w="58" w:type="dxa"/>
              <w:right w:w="58" w:type="dxa"/>
            </w:tcMar>
          </w:tcPr>
          <w:p w14:paraId="6692B164"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4AC396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-1.51</w:t>
            </w:r>
          </w:p>
        </w:tc>
        <w:tc>
          <w:tcPr>
            <w:tcW w:w="216" w:type="dxa"/>
            <w:tcBorders>
              <w:top w:val="nil"/>
              <w:left w:val="nil"/>
              <w:bottom w:val="nil"/>
              <w:right w:val="nil"/>
            </w:tcBorders>
          </w:tcPr>
          <w:p w14:paraId="7E23B3E1"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AB8C22A"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0.133</w:t>
            </w:r>
          </w:p>
        </w:tc>
      </w:tr>
      <w:tr w:rsidR="007371C5" w:rsidRPr="00C2676B" w14:paraId="64395D81" w14:textId="77777777" w:rsidTr="00356AA0">
        <w:tc>
          <w:tcPr>
            <w:tcW w:w="2960" w:type="dxa"/>
            <w:tcBorders>
              <w:top w:val="nil"/>
              <w:bottom w:val="nil"/>
              <w:right w:val="nil"/>
            </w:tcBorders>
            <w:tcMar>
              <w:left w:w="58" w:type="dxa"/>
              <w:right w:w="58" w:type="dxa"/>
            </w:tcMar>
          </w:tcPr>
          <w:p w14:paraId="0682EE24"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Violence exposure</w:t>
            </w:r>
          </w:p>
        </w:tc>
        <w:tc>
          <w:tcPr>
            <w:tcW w:w="216" w:type="dxa"/>
            <w:tcBorders>
              <w:top w:val="nil"/>
              <w:left w:val="nil"/>
              <w:bottom w:val="nil"/>
              <w:right w:val="nil"/>
            </w:tcBorders>
            <w:tcMar>
              <w:left w:w="58" w:type="dxa"/>
              <w:right w:w="58" w:type="dxa"/>
            </w:tcMar>
          </w:tcPr>
          <w:p w14:paraId="67F68ACE"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837F5B9"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5DAA1D6"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F7F4A4E"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152A20C"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A1F8F2F"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-0.089</w:t>
            </w:r>
          </w:p>
        </w:tc>
        <w:tc>
          <w:tcPr>
            <w:tcW w:w="216" w:type="dxa"/>
            <w:tcBorders>
              <w:top w:val="nil"/>
              <w:left w:val="nil"/>
              <w:bottom w:val="nil"/>
              <w:right w:val="nil"/>
            </w:tcBorders>
            <w:tcMar>
              <w:left w:w="58" w:type="dxa"/>
              <w:right w:w="58" w:type="dxa"/>
            </w:tcMar>
          </w:tcPr>
          <w:p w14:paraId="57C4DC55"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645960D"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-1.57</w:t>
            </w:r>
          </w:p>
        </w:tc>
        <w:tc>
          <w:tcPr>
            <w:tcW w:w="216" w:type="dxa"/>
            <w:tcBorders>
              <w:top w:val="nil"/>
              <w:left w:val="nil"/>
              <w:bottom w:val="nil"/>
              <w:right w:val="nil"/>
            </w:tcBorders>
          </w:tcPr>
          <w:p w14:paraId="269A3D27"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0628BF23"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0.119</w:t>
            </w:r>
          </w:p>
        </w:tc>
      </w:tr>
      <w:tr w:rsidR="007371C5" w:rsidRPr="00C2676B" w14:paraId="1BEA0674" w14:textId="77777777" w:rsidTr="00356AA0">
        <w:tc>
          <w:tcPr>
            <w:tcW w:w="2960" w:type="dxa"/>
            <w:tcBorders>
              <w:top w:val="nil"/>
              <w:bottom w:val="nil"/>
              <w:right w:val="nil"/>
            </w:tcBorders>
            <w:tcMar>
              <w:left w:w="58" w:type="dxa"/>
              <w:right w:w="58" w:type="dxa"/>
            </w:tcMar>
          </w:tcPr>
          <w:p w14:paraId="07C51C1F" w14:textId="77777777" w:rsidR="007371C5" w:rsidRPr="00C2676B" w:rsidRDefault="007371C5" w:rsidP="00356AA0">
            <w:pP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FD48736"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753F411"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AC6F4A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DA4D1FB"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7187B2D"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413A43E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34B53CC"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BDAAE6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F6056B0"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DEA9886" w14:textId="77777777" w:rsidR="007371C5" w:rsidRPr="00C2676B" w:rsidRDefault="007371C5" w:rsidP="00356AA0">
            <w:pPr>
              <w:jc w:val="center"/>
              <w:rPr>
                <w:rFonts w:ascii="Times New Roman" w:hAnsi="Times New Roman" w:cs="Times New Roman"/>
                <w:sz w:val="19"/>
                <w:szCs w:val="19"/>
              </w:rPr>
            </w:pPr>
          </w:p>
        </w:tc>
      </w:tr>
      <w:tr w:rsidR="007371C5" w:rsidRPr="00C2676B" w14:paraId="6B6ED4E1" w14:textId="77777777" w:rsidTr="00356AA0">
        <w:tc>
          <w:tcPr>
            <w:tcW w:w="2960" w:type="dxa"/>
            <w:tcBorders>
              <w:top w:val="nil"/>
              <w:bottom w:val="single" w:sz="4" w:space="0" w:color="auto"/>
              <w:right w:val="nil"/>
            </w:tcBorders>
            <w:tcMar>
              <w:left w:w="58" w:type="dxa"/>
              <w:right w:w="58" w:type="dxa"/>
            </w:tcMar>
          </w:tcPr>
          <w:p w14:paraId="7C064556"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sz w:val="19"/>
                <w:szCs w:val="19"/>
              </w:rPr>
              <w:t>Right Cingulum Bundle (QA)</w:t>
            </w:r>
          </w:p>
        </w:tc>
        <w:tc>
          <w:tcPr>
            <w:tcW w:w="216" w:type="dxa"/>
            <w:tcBorders>
              <w:top w:val="nil"/>
              <w:left w:val="nil"/>
              <w:bottom w:val="nil"/>
              <w:right w:val="nil"/>
            </w:tcBorders>
            <w:tcMar>
              <w:left w:w="58" w:type="dxa"/>
              <w:right w:w="58" w:type="dxa"/>
            </w:tcMar>
          </w:tcPr>
          <w:p w14:paraId="179EF319"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47E0CD7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638123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001FD812"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60B0E954"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7DF41D9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92055E5"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88BE77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A3B9FB0"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5C6A0C83" w14:textId="77777777" w:rsidR="007371C5" w:rsidRPr="00C2676B" w:rsidRDefault="007371C5" w:rsidP="00356AA0">
            <w:pPr>
              <w:jc w:val="center"/>
              <w:rPr>
                <w:rFonts w:ascii="Times New Roman" w:hAnsi="Times New Roman" w:cs="Times New Roman"/>
                <w:sz w:val="19"/>
                <w:szCs w:val="19"/>
              </w:rPr>
            </w:pPr>
          </w:p>
        </w:tc>
      </w:tr>
      <w:tr w:rsidR="007371C5" w:rsidRPr="00C2676B" w14:paraId="478265FD" w14:textId="77777777" w:rsidTr="00356AA0">
        <w:tc>
          <w:tcPr>
            <w:tcW w:w="2960" w:type="dxa"/>
            <w:tcBorders>
              <w:top w:val="single" w:sz="4" w:space="0" w:color="auto"/>
              <w:bottom w:val="nil"/>
              <w:right w:val="nil"/>
            </w:tcBorders>
            <w:tcMar>
              <w:left w:w="58" w:type="dxa"/>
              <w:right w:w="58" w:type="dxa"/>
            </w:tcMar>
          </w:tcPr>
          <w:p w14:paraId="15E9AD08"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Overall Model</w:t>
            </w:r>
          </w:p>
        </w:tc>
        <w:tc>
          <w:tcPr>
            <w:tcW w:w="216" w:type="dxa"/>
            <w:tcBorders>
              <w:top w:val="nil"/>
              <w:left w:val="nil"/>
              <w:bottom w:val="nil"/>
              <w:right w:val="nil"/>
            </w:tcBorders>
            <w:tcMar>
              <w:left w:w="58" w:type="dxa"/>
              <w:right w:w="58" w:type="dxa"/>
            </w:tcMar>
          </w:tcPr>
          <w:p w14:paraId="409FD7F5"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4F2CB9DB"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19.30</w:t>
            </w:r>
          </w:p>
        </w:tc>
        <w:tc>
          <w:tcPr>
            <w:tcW w:w="216" w:type="dxa"/>
            <w:tcBorders>
              <w:top w:val="nil"/>
              <w:left w:val="nil"/>
              <w:bottom w:val="nil"/>
              <w:right w:val="nil"/>
            </w:tcBorders>
            <w:tcMar>
              <w:left w:w="58" w:type="dxa"/>
              <w:right w:w="58" w:type="dxa"/>
            </w:tcMar>
          </w:tcPr>
          <w:p w14:paraId="01E2D6F6"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65D4B05"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&lt; 0.001*</w:t>
            </w:r>
          </w:p>
        </w:tc>
        <w:tc>
          <w:tcPr>
            <w:tcW w:w="216" w:type="dxa"/>
            <w:tcBorders>
              <w:top w:val="nil"/>
              <w:left w:val="nil"/>
              <w:bottom w:val="nil"/>
              <w:right w:val="nil"/>
            </w:tcBorders>
          </w:tcPr>
          <w:p w14:paraId="7413ECBC"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3B6DEB0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02DF03DB"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40A38987"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CDFD6E3"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1243A0F4" w14:textId="77777777" w:rsidR="007371C5" w:rsidRPr="00C2676B" w:rsidRDefault="007371C5" w:rsidP="00356AA0">
            <w:pPr>
              <w:jc w:val="center"/>
              <w:rPr>
                <w:rFonts w:ascii="Times New Roman" w:hAnsi="Times New Roman" w:cs="Times New Roman"/>
                <w:sz w:val="19"/>
                <w:szCs w:val="19"/>
              </w:rPr>
            </w:pPr>
          </w:p>
        </w:tc>
      </w:tr>
      <w:tr w:rsidR="007371C5" w:rsidRPr="00C2676B" w14:paraId="66B828F1" w14:textId="77777777" w:rsidTr="00356AA0">
        <w:tc>
          <w:tcPr>
            <w:tcW w:w="2960" w:type="dxa"/>
            <w:tcBorders>
              <w:top w:val="nil"/>
              <w:bottom w:val="nil"/>
              <w:right w:val="nil"/>
            </w:tcBorders>
            <w:tcMar>
              <w:left w:w="58" w:type="dxa"/>
              <w:right w:w="58" w:type="dxa"/>
            </w:tcMar>
          </w:tcPr>
          <w:p w14:paraId="708F8156"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Family income</w:t>
            </w:r>
          </w:p>
        </w:tc>
        <w:tc>
          <w:tcPr>
            <w:tcW w:w="216" w:type="dxa"/>
            <w:tcBorders>
              <w:top w:val="nil"/>
              <w:left w:val="nil"/>
              <w:bottom w:val="nil"/>
              <w:right w:val="nil"/>
            </w:tcBorders>
            <w:tcMar>
              <w:left w:w="58" w:type="dxa"/>
              <w:right w:w="58" w:type="dxa"/>
            </w:tcMar>
          </w:tcPr>
          <w:p w14:paraId="4C61A5B2"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91E7567"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008AE52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6B86093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01C9372"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33514339"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0.087</w:t>
            </w:r>
          </w:p>
        </w:tc>
        <w:tc>
          <w:tcPr>
            <w:tcW w:w="216" w:type="dxa"/>
            <w:tcBorders>
              <w:top w:val="nil"/>
              <w:left w:val="nil"/>
              <w:bottom w:val="nil"/>
              <w:right w:val="nil"/>
            </w:tcBorders>
            <w:tcMar>
              <w:left w:w="58" w:type="dxa"/>
              <w:right w:w="58" w:type="dxa"/>
            </w:tcMar>
          </w:tcPr>
          <w:p w14:paraId="4F8CAE22"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630132AE"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1.33</w:t>
            </w:r>
          </w:p>
        </w:tc>
        <w:tc>
          <w:tcPr>
            <w:tcW w:w="216" w:type="dxa"/>
            <w:tcBorders>
              <w:top w:val="nil"/>
              <w:left w:val="nil"/>
              <w:bottom w:val="nil"/>
              <w:right w:val="nil"/>
            </w:tcBorders>
          </w:tcPr>
          <w:p w14:paraId="40021F5E"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C7A310A"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0.184</w:t>
            </w:r>
          </w:p>
        </w:tc>
      </w:tr>
      <w:tr w:rsidR="007371C5" w:rsidRPr="00C2676B" w14:paraId="26C977B7" w14:textId="77777777" w:rsidTr="00356AA0">
        <w:tc>
          <w:tcPr>
            <w:tcW w:w="2960" w:type="dxa"/>
            <w:tcBorders>
              <w:top w:val="nil"/>
              <w:bottom w:val="nil"/>
              <w:right w:val="nil"/>
            </w:tcBorders>
            <w:tcMar>
              <w:left w:w="58" w:type="dxa"/>
              <w:right w:w="58" w:type="dxa"/>
            </w:tcMar>
          </w:tcPr>
          <w:p w14:paraId="42079D5C"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Neighborhood disadvantage</w:t>
            </w:r>
          </w:p>
        </w:tc>
        <w:tc>
          <w:tcPr>
            <w:tcW w:w="216" w:type="dxa"/>
            <w:tcBorders>
              <w:top w:val="nil"/>
              <w:left w:val="nil"/>
              <w:bottom w:val="nil"/>
              <w:right w:val="nil"/>
            </w:tcBorders>
            <w:tcMar>
              <w:left w:w="58" w:type="dxa"/>
              <w:right w:w="58" w:type="dxa"/>
            </w:tcMar>
          </w:tcPr>
          <w:p w14:paraId="392CBD45"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465DAA9"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28229A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66850EEF"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99ADF29"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56FF6CB"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-0.090</w:t>
            </w:r>
          </w:p>
        </w:tc>
        <w:tc>
          <w:tcPr>
            <w:tcW w:w="216" w:type="dxa"/>
            <w:tcBorders>
              <w:top w:val="nil"/>
              <w:left w:val="nil"/>
              <w:bottom w:val="nil"/>
              <w:right w:val="nil"/>
            </w:tcBorders>
            <w:tcMar>
              <w:left w:w="58" w:type="dxa"/>
              <w:right w:w="58" w:type="dxa"/>
            </w:tcMar>
          </w:tcPr>
          <w:p w14:paraId="135BADD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F295172"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-1.39</w:t>
            </w:r>
          </w:p>
        </w:tc>
        <w:tc>
          <w:tcPr>
            <w:tcW w:w="216" w:type="dxa"/>
            <w:tcBorders>
              <w:top w:val="nil"/>
              <w:left w:val="nil"/>
              <w:bottom w:val="nil"/>
              <w:right w:val="nil"/>
            </w:tcBorders>
          </w:tcPr>
          <w:p w14:paraId="2F2666AB"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6F3D894E"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0.166</w:t>
            </w:r>
          </w:p>
        </w:tc>
      </w:tr>
      <w:tr w:rsidR="007371C5" w:rsidRPr="00C2676B" w14:paraId="488D7CCC" w14:textId="77777777" w:rsidTr="00356AA0">
        <w:tc>
          <w:tcPr>
            <w:tcW w:w="2960" w:type="dxa"/>
            <w:tcBorders>
              <w:top w:val="nil"/>
              <w:bottom w:val="nil"/>
              <w:right w:val="nil"/>
            </w:tcBorders>
            <w:tcMar>
              <w:left w:w="58" w:type="dxa"/>
              <w:right w:w="58" w:type="dxa"/>
            </w:tcMar>
          </w:tcPr>
          <w:p w14:paraId="1A025D0F"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Violence exposure</w:t>
            </w:r>
          </w:p>
        </w:tc>
        <w:tc>
          <w:tcPr>
            <w:tcW w:w="216" w:type="dxa"/>
            <w:tcBorders>
              <w:top w:val="nil"/>
              <w:left w:val="nil"/>
              <w:bottom w:val="nil"/>
              <w:right w:val="nil"/>
            </w:tcBorders>
            <w:tcMar>
              <w:left w:w="58" w:type="dxa"/>
              <w:right w:w="58" w:type="dxa"/>
            </w:tcMar>
          </w:tcPr>
          <w:p w14:paraId="67B8B70D"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4536D2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F90300F"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5990B20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F0B6747"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1385DE5F"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-0.104</w:t>
            </w:r>
          </w:p>
        </w:tc>
        <w:tc>
          <w:tcPr>
            <w:tcW w:w="216" w:type="dxa"/>
            <w:tcBorders>
              <w:top w:val="nil"/>
              <w:left w:val="nil"/>
              <w:bottom w:val="nil"/>
              <w:right w:val="nil"/>
            </w:tcBorders>
            <w:tcMar>
              <w:left w:w="58" w:type="dxa"/>
              <w:right w:w="58" w:type="dxa"/>
            </w:tcMar>
          </w:tcPr>
          <w:p w14:paraId="11B0923F"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DE7230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-1.82</w:t>
            </w:r>
          </w:p>
        </w:tc>
        <w:tc>
          <w:tcPr>
            <w:tcW w:w="216" w:type="dxa"/>
            <w:tcBorders>
              <w:top w:val="nil"/>
              <w:left w:val="nil"/>
              <w:bottom w:val="nil"/>
              <w:right w:val="nil"/>
            </w:tcBorders>
          </w:tcPr>
          <w:p w14:paraId="67386AFC"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7A6D2766"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0.069</w:t>
            </w:r>
          </w:p>
        </w:tc>
      </w:tr>
      <w:tr w:rsidR="007371C5" w:rsidRPr="00C2676B" w14:paraId="69039AF2" w14:textId="77777777" w:rsidTr="00356AA0">
        <w:tc>
          <w:tcPr>
            <w:tcW w:w="2960" w:type="dxa"/>
            <w:tcBorders>
              <w:top w:val="nil"/>
              <w:bottom w:val="nil"/>
              <w:right w:val="nil"/>
            </w:tcBorders>
            <w:tcMar>
              <w:left w:w="58" w:type="dxa"/>
              <w:right w:w="58" w:type="dxa"/>
            </w:tcMar>
          </w:tcPr>
          <w:p w14:paraId="76F98AFA" w14:textId="77777777" w:rsidR="007371C5" w:rsidRPr="00C2676B" w:rsidRDefault="007371C5" w:rsidP="00356AA0">
            <w:pP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E559619"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46C31E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5C2FED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4B7B0CE"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4606D735"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0F7AD63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67893C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ACB3CE7"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1EC0F29"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480E55EF" w14:textId="77777777" w:rsidR="007371C5" w:rsidRPr="00C2676B" w:rsidRDefault="007371C5" w:rsidP="00356AA0">
            <w:pPr>
              <w:jc w:val="center"/>
              <w:rPr>
                <w:rFonts w:ascii="Times New Roman" w:hAnsi="Times New Roman" w:cs="Times New Roman"/>
                <w:sz w:val="19"/>
                <w:szCs w:val="19"/>
              </w:rPr>
            </w:pPr>
          </w:p>
        </w:tc>
      </w:tr>
      <w:tr w:rsidR="007371C5" w:rsidRPr="00C2676B" w14:paraId="4E9847F8" w14:textId="77777777" w:rsidTr="00356AA0">
        <w:tc>
          <w:tcPr>
            <w:tcW w:w="2960" w:type="dxa"/>
            <w:tcBorders>
              <w:top w:val="nil"/>
              <w:bottom w:val="single" w:sz="4" w:space="0" w:color="auto"/>
              <w:right w:val="nil"/>
            </w:tcBorders>
            <w:tcMar>
              <w:left w:w="58" w:type="dxa"/>
              <w:right w:w="58" w:type="dxa"/>
            </w:tcMar>
          </w:tcPr>
          <w:p w14:paraId="4A5C300C"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sz w:val="19"/>
                <w:szCs w:val="19"/>
              </w:rPr>
              <w:t>Left Uncinate Fasciculus (QA)</w:t>
            </w:r>
          </w:p>
        </w:tc>
        <w:tc>
          <w:tcPr>
            <w:tcW w:w="216" w:type="dxa"/>
            <w:tcBorders>
              <w:top w:val="nil"/>
              <w:left w:val="nil"/>
              <w:bottom w:val="nil"/>
              <w:right w:val="nil"/>
            </w:tcBorders>
            <w:tcMar>
              <w:left w:w="58" w:type="dxa"/>
              <w:right w:w="58" w:type="dxa"/>
            </w:tcMar>
          </w:tcPr>
          <w:p w14:paraId="4DAC190C"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E49AF49"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4BD659C3"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93E6A4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6A80EB5B"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ED1E4B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054108F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B01D18F"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FD12F04"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1705A504" w14:textId="77777777" w:rsidR="007371C5" w:rsidRPr="00C2676B" w:rsidRDefault="007371C5" w:rsidP="00356AA0">
            <w:pPr>
              <w:jc w:val="center"/>
              <w:rPr>
                <w:rFonts w:ascii="Times New Roman" w:hAnsi="Times New Roman" w:cs="Times New Roman"/>
                <w:sz w:val="19"/>
                <w:szCs w:val="19"/>
              </w:rPr>
            </w:pPr>
          </w:p>
        </w:tc>
      </w:tr>
      <w:tr w:rsidR="007371C5" w:rsidRPr="00C2676B" w14:paraId="0A566E85" w14:textId="77777777" w:rsidTr="00356AA0">
        <w:tc>
          <w:tcPr>
            <w:tcW w:w="2960" w:type="dxa"/>
            <w:tcBorders>
              <w:top w:val="single" w:sz="4" w:space="0" w:color="auto"/>
              <w:bottom w:val="nil"/>
              <w:right w:val="nil"/>
            </w:tcBorders>
            <w:tcMar>
              <w:left w:w="58" w:type="dxa"/>
              <w:right w:w="58" w:type="dxa"/>
            </w:tcMar>
          </w:tcPr>
          <w:p w14:paraId="430DD3CE"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Overall Model</w:t>
            </w:r>
          </w:p>
        </w:tc>
        <w:tc>
          <w:tcPr>
            <w:tcW w:w="216" w:type="dxa"/>
            <w:tcBorders>
              <w:top w:val="nil"/>
              <w:left w:val="nil"/>
              <w:bottom w:val="nil"/>
              <w:right w:val="nil"/>
            </w:tcBorders>
            <w:tcMar>
              <w:left w:w="58" w:type="dxa"/>
              <w:right w:w="58" w:type="dxa"/>
            </w:tcMar>
          </w:tcPr>
          <w:p w14:paraId="04835018"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CA45C6B"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6.01</w:t>
            </w:r>
          </w:p>
        </w:tc>
        <w:tc>
          <w:tcPr>
            <w:tcW w:w="216" w:type="dxa"/>
            <w:tcBorders>
              <w:top w:val="nil"/>
              <w:left w:val="nil"/>
              <w:bottom w:val="nil"/>
              <w:right w:val="nil"/>
            </w:tcBorders>
            <w:tcMar>
              <w:left w:w="58" w:type="dxa"/>
              <w:right w:w="58" w:type="dxa"/>
            </w:tcMar>
          </w:tcPr>
          <w:p w14:paraId="087A5B74"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591317CD"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&lt; 0.001*</w:t>
            </w:r>
          </w:p>
        </w:tc>
        <w:tc>
          <w:tcPr>
            <w:tcW w:w="216" w:type="dxa"/>
            <w:tcBorders>
              <w:top w:val="nil"/>
              <w:left w:val="nil"/>
              <w:bottom w:val="nil"/>
              <w:right w:val="nil"/>
            </w:tcBorders>
          </w:tcPr>
          <w:p w14:paraId="4C85092F"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26BE37A1"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A68D003"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200E997"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080E3248"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3ABA144" w14:textId="77777777" w:rsidR="007371C5" w:rsidRPr="00C2676B" w:rsidRDefault="007371C5" w:rsidP="00356AA0">
            <w:pPr>
              <w:jc w:val="center"/>
              <w:rPr>
                <w:rFonts w:ascii="Times New Roman" w:hAnsi="Times New Roman" w:cs="Times New Roman"/>
                <w:sz w:val="19"/>
                <w:szCs w:val="19"/>
              </w:rPr>
            </w:pPr>
          </w:p>
        </w:tc>
      </w:tr>
      <w:tr w:rsidR="007371C5" w:rsidRPr="00C2676B" w14:paraId="146A8648" w14:textId="77777777" w:rsidTr="00356AA0">
        <w:tc>
          <w:tcPr>
            <w:tcW w:w="2960" w:type="dxa"/>
            <w:tcBorders>
              <w:top w:val="nil"/>
              <w:bottom w:val="nil"/>
              <w:right w:val="nil"/>
            </w:tcBorders>
            <w:tcMar>
              <w:left w:w="58" w:type="dxa"/>
              <w:right w:w="58" w:type="dxa"/>
            </w:tcMar>
          </w:tcPr>
          <w:p w14:paraId="30DA9C5D"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Family income</w:t>
            </w:r>
          </w:p>
        </w:tc>
        <w:tc>
          <w:tcPr>
            <w:tcW w:w="216" w:type="dxa"/>
            <w:tcBorders>
              <w:top w:val="nil"/>
              <w:left w:val="nil"/>
              <w:bottom w:val="nil"/>
              <w:right w:val="nil"/>
            </w:tcBorders>
            <w:tcMar>
              <w:left w:w="58" w:type="dxa"/>
              <w:right w:w="58" w:type="dxa"/>
            </w:tcMar>
          </w:tcPr>
          <w:p w14:paraId="4DAD7087"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1C2D59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A88E6E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11039EF"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68B813C"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00E99492"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0.066</w:t>
            </w:r>
          </w:p>
        </w:tc>
        <w:tc>
          <w:tcPr>
            <w:tcW w:w="216" w:type="dxa"/>
            <w:tcBorders>
              <w:top w:val="nil"/>
              <w:left w:val="nil"/>
              <w:bottom w:val="nil"/>
              <w:right w:val="nil"/>
            </w:tcBorders>
            <w:tcMar>
              <w:left w:w="58" w:type="dxa"/>
              <w:right w:w="58" w:type="dxa"/>
            </w:tcMar>
          </w:tcPr>
          <w:p w14:paraId="1BF55A3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E93AEA7"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0.887</w:t>
            </w:r>
          </w:p>
        </w:tc>
        <w:tc>
          <w:tcPr>
            <w:tcW w:w="216" w:type="dxa"/>
            <w:tcBorders>
              <w:top w:val="nil"/>
              <w:left w:val="nil"/>
              <w:bottom w:val="nil"/>
              <w:right w:val="nil"/>
            </w:tcBorders>
          </w:tcPr>
          <w:p w14:paraId="72A00F80"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017F86FF"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0.376</w:t>
            </w:r>
          </w:p>
        </w:tc>
      </w:tr>
      <w:tr w:rsidR="007371C5" w:rsidRPr="00C2676B" w14:paraId="4D16D6C6" w14:textId="77777777" w:rsidTr="00356AA0">
        <w:tc>
          <w:tcPr>
            <w:tcW w:w="2960" w:type="dxa"/>
            <w:tcBorders>
              <w:top w:val="nil"/>
              <w:bottom w:val="nil"/>
              <w:right w:val="nil"/>
            </w:tcBorders>
            <w:tcMar>
              <w:left w:w="58" w:type="dxa"/>
              <w:right w:w="58" w:type="dxa"/>
            </w:tcMar>
          </w:tcPr>
          <w:p w14:paraId="55AE40FD"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Neighborhood disadvantage</w:t>
            </w:r>
          </w:p>
        </w:tc>
        <w:tc>
          <w:tcPr>
            <w:tcW w:w="216" w:type="dxa"/>
            <w:tcBorders>
              <w:top w:val="nil"/>
              <w:left w:val="nil"/>
              <w:bottom w:val="nil"/>
              <w:right w:val="nil"/>
            </w:tcBorders>
            <w:tcMar>
              <w:left w:w="58" w:type="dxa"/>
              <w:right w:w="58" w:type="dxa"/>
            </w:tcMar>
          </w:tcPr>
          <w:p w14:paraId="18FFFE2B"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FC6881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E5FDDB4"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6EC92C3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6B1198F"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432E60F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-0.095</w:t>
            </w:r>
          </w:p>
        </w:tc>
        <w:tc>
          <w:tcPr>
            <w:tcW w:w="216" w:type="dxa"/>
            <w:tcBorders>
              <w:top w:val="nil"/>
              <w:left w:val="nil"/>
              <w:bottom w:val="nil"/>
              <w:right w:val="nil"/>
            </w:tcBorders>
            <w:tcMar>
              <w:left w:w="58" w:type="dxa"/>
              <w:right w:w="58" w:type="dxa"/>
            </w:tcMar>
          </w:tcPr>
          <w:p w14:paraId="654B7BCF"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BD9B35B"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-1.29</w:t>
            </w:r>
          </w:p>
        </w:tc>
        <w:tc>
          <w:tcPr>
            <w:tcW w:w="216" w:type="dxa"/>
            <w:tcBorders>
              <w:top w:val="nil"/>
              <w:left w:val="nil"/>
              <w:bottom w:val="nil"/>
              <w:right w:val="nil"/>
            </w:tcBorders>
          </w:tcPr>
          <w:p w14:paraId="09C266E7"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01F27248"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0.199</w:t>
            </w:r>
          </w:p>
        </w:tc>
      </w:tr>
      <w:tr w:rsidR="007371C5" w:rsidRPr="00C2676B" w14:paraId="27F86F7A" w14:textId="77777777" w:rsidTr="00356AA0">
        <w:tc>
          <w:tcPr>
            <w:tcW w:w="2960" w:type="dxa"/>
            <w:tcBorders>
              <w:top w:val="nil"/>
              <w:bottom w:val="nil"/>
              <w:right w:val="nil"/>
            </w:tcBorders>
            <w:tcMar>
              <w:left w:w="58" w:type="dxa"/>
              <w:right w:w="58" w:type="dxa"/>
            </w:tcMar>
          </w:tcPr>
          <w:p w14:paraId="003A40A1"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Violence exposure</w:t>
            </w:r>
          </w:p>
        </w:tc>
        <w:tc>
          <w:tcPr>
            <w:tcW w:w="216" w:type="dxa"/>
            <w:tcBorders>
              <w:top w:val="nil"/>
              <w:left w:val="nil"/>
              <w:bottom w:val="nil"/>
              <w:right w:val="nil"/>
            </w:tcBorders>
            <w:tcMar>
              <w:left w:w="58" w:type="dxa"/>
              <w:right w:w="58" w:type="dxa"/>
            </w:tcMar>
          </w:tcPr>
          <w:p w14:paraId="55CE0AAC"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C7C4C7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78D58C1"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492A573"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8E2159A"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54639347"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-0.031</w:t>
            </w:r>
          </w:p>
        </w:tc>
        <w:tc>
          <w:tcPr>
            <w:tcW w:w="216" w:type="dxa"/>
            <w:tcBorders>
              <w:top w:val="nil"/>
              <w:left w:val="nil"/>
              <w:bottom w:val="nil"/>
              <w:right w:val="nil"/>
            </w:tcBorders>
            <w:tcMar>
              <w:left w:w="58" w:type="dxa"/>
              <w:right w:w="58" w:type="dxa"/>
            </w:tcMar>
          </w:tcPr>
          <w:p w14:paraId="0B15FEEF"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65E1DF21"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-0.480</w:t>
            </w:r>
          </w:p>
        </w:tc>
        <w:tc>
          <w:tcPr>
            <w:tcW w:w="216" w:type="dxa"/>
            <w:tcBorders>
              <w:top w:val="nil"/>
              <w:left w:val="nil"/>
              <w:bottom w:val="nil"/>
              <w:right w:val="nil"/>
            </w:tcBorders>
          </w:tcPr>
          <w:p w14:paraId="2539D9B2"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76139F0"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0.632</w:t>
            </w:r>
          </w:p>
        </w:tc>
      </w:tr>
      <w:tr w:rsidR="007371C5" w:rsidRPr="00C2676B" w14:paraId="2018B15C" w14:textId="77777777" w:rsidTr="00356AA0">
        <w:tc>
          <w:tcPr>
            <w:tcW w:w="2960" w:type="dxa"/>
            <w:tcBorders>
              <w:top w:val="nil"/>
              <w:bottom w:val="nil"/>
              <w:right w:val="nil"/>
            </w:tcBorders>
            <w:tcMar>
              <w:left w:w="58" w:type="dxa"/>
              <w:right w:w="58" w:type="dxa"/>
            </w:tcMar>
          </w:tcPr>
          <w:p w14:paraId="00D95325" w14:textId="77777777" w:rsidR="007371C5" w:rsidRPr="00C2676B" w:rsidRDefault="007371C5" w:rsidP="00356AA0">
            <w:pP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C577248"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1C804B5"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1695CD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221BBEC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D735EB2"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E048A2F"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F361DC4"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A20C93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6D4E540"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606BBC03" w14:textId="77777777" w:rsidR="007371C5" w:rsidRPr="00C2676B" w:rsidRDefault="007371C5" w:rsidP="00356AA0">
            <w:pPr>
              <w:jc w:val="center"/>
              <w:rPr>
                <w:rFonts w:ascii="Times New Roman" w:hAnsi="Times New Roman" w:cs="Times New Roman"/>
                <w:sz w:val="19"/>
                <w:szCs w:val="19"/>
              </w:rPr>
            </w:pPr>
          </w:p>
        </w:tc>
      </w:tr>
      <w:tr w:rsidR="007371C5" w:rsidRPr="00C2676B" w14:paraId="03531164" w14:textId="77777777" w:rsidTr="00356AA0">
        <w:tc>
          <w:tcPr>
            <w:tcW w:w="2960" w:type="dxa"/>
            <w:tcBorders>
              <w:top w:val="nil"/>
              <w:bottom w:val="single" w:sz="4" w:space="0" w:color="auto"/>
              <w:right w:val="nil"/>
            </w:tcBorders>
            <w:tcMar>
              <w:left w:w="58" w:type="dxa"/>
              <w:right w:w="58" w:type="dxa"/>
            </w:tcMar>
          </w:tcPr>
          <w:p w14:paraId="6E58C9F8"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sz w:val="19"/>
                <w:szCs w:val="19"/>
              </w:rPr>
              <w:t>Right Uncinate Fasciculus (QA)</w:t>
            </w:r>
          </w:p>
        </w:tc>
        <w:tc>
          <w:tcPr>
            <w:tcW w:w="216" w:type="dxa"/>
            <w:tcBorders>
              <w:top w:val="nil"/>
              <w:left w:val="nil"/>
              <w:bottom w:val="nil"/>
              <w:right w:val="nil"/>
            </w:tcBorders>
            <w:tcMar>
              <w:left w:w="58" w:type="dxa"/>
              <w:right w:w="58" w:type="dxa"/>
            </w:tcMar>
          </w:tcPr>
          <w:p w14:paraId="5F492E18"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57A4A6E"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0F860D2B"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24B3EEB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25DA5A0C"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44BD373B"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9FCA71B"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CA3740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05A6F362"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70D3AAF9" w14:textId="77777777" w:rsidR="007371C5" w:rsidRPr="00C2676B" w:rsidRDefault="007371C5" w:rsidP="00356AA0">
            <w:pPr>
              <w:jc w:val="center"/>
              <w:rPr>
                <w:rFonts w:ascii="Times New Roman" w:hAnsi="Times New Roman" w:cs="Times New Roman"/>
                <w:sz w:val="19"/>
                <w:szCs w:val="19"/>
              </w:rPr>
            </w:pPr>
          </w:p>
        </w:tc>
      </w:tr>
      <w:tr w:rsidR="007371C5" w:rsidRPr="00C2676B" w14:paraId="363DF4B9" w14:textId="77777777" w:rsidTr="00356AA0">
        <w:tc>
          <w:tcPr>
            <w:tcW w:w="2960" w:type="dxa"/>
            <w:tcBorders>
              <w:top w:val="single" w:sz="4" w:space="0" w:color="auto"/>
              <w:bottom w:val="nil"/>
              <w:right w:val="nil"/>
            </w:tcBorders>
            <w:tcMar>
              <w:left w:w="58" w:type="dxa"/>
              <w:right w:w="58" w:type="dxa"/>
            </w:tcMar>
          </w:tcPr>
          <w:p w14:paraId="24CED16B"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Overall Model</w:t>
            </w:r>
          </w:p>
        </w:tc>
        <w:tc>
          <w:tcPr>
            <w:tcW w:w="216" w:type="dxa"/>
            <w:tcBorders>
              <w:top w:val="nil"/>
              <w:left w:val="nil"/>
              <w:bottom w:val="nil"/>
              <w:right w:val="nil"/>
            </w:tcBorders>
            <w:tcMar>
              <w:left w:w="58" w:type="dxa"/>
              <w:right w:w="58" w:type="dxa"/>
            </w:tcMar>
          </w:tcPr>
          <w:p w14:paraId="2D44B02B"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F27383D"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4.84</w:t>
            </w:r>
          </w:p>
        </w:tc>
        <w:tc>
          <w:tcPr>
            <w:tcW w:w="216" w:type="dxa"/>
            <w:tcBorders>
              <w:top w:val="nil"/>
              <w:left w:val="nil"/>
              <w:bottom w:val="nil"/>
              <w:right w:val="nil"/>
            </w:tcBorders>
            <w:tcMar>
              <w:left w:w="58" w:type="dxa"/>
              <w:right w:w="58" w:type="dxa"/>
            </w:tcMar>
          </w:tcPr>
          <w:p w14:paraId="5EA5551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07BE913A"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&lt; 0.001*</w:t>
            </w:r>
          </w:p>
        </w:tc>
        <w:tc>
          <w:tcPr>
            <w:tcW w:w="216" w:type="dxa"/>
            <w:tcBorders>
              <w:top w:val="nil"/>
              <w:left w:val="nil"/>
              <w:bottom w:val="nil"/>
              <w:right w:val="nil"/>
            </w:tcBorders>
          </w:tcPr>
          <w:p w14:paraId="34D61C30"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1504272B"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B5F6C45"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6C97020"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28DF6C65"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1E4E2068" w14:textId="77777777" w:rsidR="007371C5" w:rsidRPr="00C2676B" w:rsidRDefault="007371C5" w:rsidP="00356AA0">
            <w:pPr>
              <w:jc w:val="center"/>
              <w:rPr>
                <w:rFonts w:ascii="Times New Roman" w:hAnsi="Times New Roman" w:cs="Times New Roman"/>
                <w:sz w:val="19"/>
                <w:szCs w:val="19"/>
              </w:rPr>
            </w:pPr>
          </w:p>
        </w:tc>
      </w:tr>
      <w:tr w:rsidR="007371C5" w:rsidRPr="00C2676B" w14:paraId="59EB33B1" w14:textId="77777777" w:rsidTr="00356AA0">
        <w:tc>
          <w:tcPr>
            <w:tcW w:w="2960" w:type="dxa"/>
            <w:tcBorders>
              <w:top w:val="nil"/>
              <w:bottom w:val="nil"/>
              <w:right w:val="nil"/>
            </w:tcBorders>
            <w:tcMar>
              <w:left w:w="58" w:type="dxa"/>
              <w:right w:w="58" w:type="dxa"/>
            </w:tcMar>
          </w:tcPr>
          <w:p w14:paraId="01E226DE"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Family income</w:t>
            </w:r>
          </w:p>
        </w:tc>
        <w:tc>
          <w:tcPr>
            <w:tcW w:w="216" w:type="dxa"/>
            <w:tcBorders>
              <w:top w:val="nil"/>
              <w:left w:val="nil"/>
              <w:bottom w:val="nil"/>
              <w:right w:val="nil"/>
            </w:tcBorders>
            <w:tcMar>
              <w:left w:w="58" w:type="dxa"/>
              <w:right w:w="58" w:type="dxa"/>
            </w:tcMar>
          </w:tcPr>
          <w:p w14:paraId="5BF9B4F7"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5A048EB"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411A1A0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2165D417"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A8643C1"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BE2354D"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0.106</w:t>
            </w:r>
          </w:p>
        </w:tc>
        <w:tc>
          <w:tcPr>
            <w:tcW w:w="216" w:type="dxa"/>
            <w:tcBorders>
              <w:top w:val="nil"/>
              <w:left w:val="nil"/>
              <w:bottom w:val="nil"/>
              <w:right w:val="nil"/>
            </w:tcBorders>
            <w:tcMar>
              <w:left w:w="58" w:type="dxa"/>
              <w:right w:w="58" w:type="dxa"/>
            </w:tcMar>
          </w:tcPr>
          <w:p w14:paraId="6023C44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72DDAFE"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1.41</w:t>
            </w:r>
          </w:p>
        </w:tc>
        <w:tc>
          <w:tcPr>
            <w:tcW w:w="216" w:type="dxa"/>
            <w:tcBorders>
              <w:top w:val="nil"/>
              <w:left w:val="nil"/>
              <w:bottom w:val="nil"/>
              <w:right w:val="nil"/>
            </w:tcBorders>
          </w:tcPr>
          <w:p w14:paraId="15371E23"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7E8BF2B6"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0.160</w:t>
            </w:r>
          </w:p>
        </w:tc>
      </w:tr>
      <w:tr w:rsidR="007371C5" w:rsidRPr="00C2676B" w14:paraId="0D62B71A" w14:textId="77777777" w:rsidTr="00356AA0">
        <w:tc>
          <w:tcPr>
            <w:tcW w:w="2960" w:type="dxa"/>
            <w:tcBorders>
              <w:top w:val="nil"/>
              <w:bottom w:val="nil"/>
              <w:right w:val="nil"/>
            </w:tcBorders>
            <w:tcMar>
              <w:left w:w="58" w:type="dxa"/>
              <w:right w:w="58" w:type="dxa"/>
            </w:tcMar>
          </w:tcPr>
          <w:p w14:paraId="2F2AE5A5"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Neighborhood disadvantage</w:t>
            </w:r>
          </w:p>
        </w:tc>
        <w:tc>
          <w:tcPr>
            <w:tcW w:w="216" w:type="dxa"/>
            <w:tcBorders>
              <w:top w:val="nil"/>
              <w:left w:val="nil"/>
              <w:bottom w:val="nil"/>
              <w:right w:val="nil"/>
            </w:tcBorders>
            <w:tcMar>
              <w:left w:w="58" w:type="dxa"/>
              <w:right w:w="58" w:type="dxa"/>
            </w:tcMar>
          </w:tcPr>
          <w:p w14:paraId="1BB8A457"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585565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74D9B40"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3749ABB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204D2735"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4AE5D7A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-0.080</w:t>
            </w:r>
          </w:p>
        </w:tc>
        <w:tc>
          <w:tcPr>
            <w:tcW w:w="216" w:type="dxa"/>
            <w:tcBorders>
              <w:top w:val="nil"/>
              <w:left w:val="nil"/>
              <w:bottom w:val="nil"/>
              <w:right w:val="nil"/>
            </w:tcBorders>
            <w:tcMar>
              <w:left w:w="58" w:type="dxa"/>
              <w:right w:w="58" w:type="dxa"/>
            </w:tcMar>
          </w:tcPr>
          <w:p w14:paraId="6E8FBCE5"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B4E8E1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-1.07</w:t>
            </w:r>
          </w:p>
        </w:tc>
        <w:tc>
          <w:tcPr>
            <w:tcW w:w="216" w:type="dxa"/>
            <w:tcBorders>
              <w:top w:val="nil"/>
              <w:left w:val="nil"/>
              <w:bottom w:val="nil"/>
              <w:right w:val="nil"/>
            </w:tcBorders>
          </w:tcPr>
          <w:p w14:paraId="2FAE97D2"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58033059"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0.285</w:t>
            </w:r>
          </w:p>
        </w:tc>
      </w:tr>
      <w:tr w:rsidR="007371C5" w:rsidRPr="00C2676B" w14:paraId="2942AF6B" w14:textId="77777777" w:rsidTr="00356AA0">
        <w:tc>
          <w:tcPr>
            <w:tcW w:w="2960" w:type="dxa"/>
            <w:tcBorders>
              <w:top w:val="nil"/>
              <w:bottom w:val="nil"/>
              <w:right w:val="nil"/>
            </w:tcBorders>
            <w:tcMar>
              <w:left w:w="58" w:type="dxa"/>
              <w:right w:w="58" w:type="dxa"/>
            </w:tcMar>
          </w:tcPr>
          <w:p w14:paraId="1F172216"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Violence exposure</w:t>
            </w:r>
          </w:p>
        </w:tc>
        <w:tc>
          <w:tcPr>
            <w:tcW w:w="216" w:type="dxa"/>
            <w:tcBorders>
              <w:top w:val="nil"/>
              <w:left w:val="nil"/>
              <w:bottom w:val="nil"/>
              <w:right w:val="nil"/>
            </w:tcBorders>
            <w:tcMar>
              <w:left w:w="58" w:type="dxa"/>
              <w:right w:w="58" w:type="dxa"/>
            </w:tcMar>
          </w:tcPr>
          <w:p w14:paraId="55835DF6"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BB89A82"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40C358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436E871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02421BCF"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3D31977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-0.032</w:t>
            </w:r>
          </w:p>
        </w:tc>
        <w:tc>
          <w:tcPr>
            <w:tcW w:w="216" w:type="dxa"/>
            <w:tcBorders>
              <w:top w:val="nil"/>
              <w:left w:val="nil"/>
              <w:bottom w:val="nil"/>
              <w:right w:val="nil"/>
            </w:tcBorders>
            <w:tcMar>
              <w:left w:w="58" w:type="dxa"/>
              <w:right w:w="58" w:type="dxa"/>
            </w:tcMar>
          </w:tcPr>
          <w:p w14:paraId="328D4E3C"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1FF2AA3"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-0.493</w:t>
            </w:r>
          </w:p>
        </w:tc>
        <w:tc>
          <w:tcPr>
            <w:tcW w:w="216" w:type="dxa"/>
            <w:tcBorders>
              <w:top w:val="nil"/>
              <w:left w:val="nil"/>
              <w:bottom w:val="nil"/>
              <w:right w:val="nil"/>
            </w:tcBorders>
          </w:tcPr>
          <w:p w14:paraId="65139D0F"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C7D2D61"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0.623</w:t>
            </w:r>
          </w:p>
        </w:tc>
      </w:tr>
      <w:tr w:rsidR="007371C5" w:rsidRPr="00C2676B" w14:paraId="03B672D0" w14:textId="77777777" w:rsidTr="00356AA0">
        <w:tc>
          <w:tcPr>
            <w:tcW w:w="2960" w:type="dxa"/>
            <w:tcBorders>
              <w:top w:val="nil"/>
              <w:bottom w:val="nil"/>
              <w:right w:val="nil"/>
            </w:tcBorders>
            <w:tcMar>
              <w:left w:w="58" w:type="dxa"/>
              <w:right w:w="58" w:type="dxa"/>
            </w:tcMar>
          </w:tcPr>
          <w:p w14:paraId="7E5052CA" w14:textId="77777777" w:rsidR="007371C5" w:rsidRPr="00C2676B" w:rsidRDefault="007371C5" w:rsidP="00356AA0">
            <w:pP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A85150D"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E8595BA"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5CDB9AB"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30589855"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1D8CC18"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051A9F0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954392B"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F220E1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883A901"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DF74FA0" w14:textId="77777777" w:rsidR="007371C5" w:rsidRPr="00C2676B" w:rsidRDefault="007371C5" w:rsidP="00356AA0">
            <w:pPr>
              <w:jc w:val="center"/>
              <w:rPr>
                <w:rFonts w:ascii="Times New Roman" w:hAnsi="Times New Roman" w:cs="Times New Roman"/>
                <w:sz w:val="19"/>
                <w:szCs w:val="19"/>
              </w:rPr>
            </w:pPr>
          </w:p>
        </w:tc>
      </w:tr>
      <w:tr w:rsidR="007371C5" w:rsidRPr="00C2676B" w14:paraId="7C860141" w14:textId="77777777" w:rsidTr="00356AA0">
        <w:tc>
          <w:tcPr>
            <w:tcW w:w="2960" w:type="dxa"/>
            <w:tcBorders>
              <w:top w:val="nil"/>
              <w:bottom w:val="single" w:sz="4" w:space="0" w:color="auto"/>
              <w:right w:val="nil"/>
            </w:tcBorders>
            <w:tcMar>
              <w:left w:w="58" w:type="dxa"/>
              <w:right w:w="58" w:type="dxa"/>
            </w:tcMar>
          </w:tcPr>
          <w:p w14:paraId="095F4632"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sz w:val="19"/>
                <w:szCs w:val="19"/>
              </w:rPr>
              <w:t>Left Stria Terminalis/Fornix (QA)</w:t>
            </w:r>
          </w:p>
        </w:tc>
        <w:tc>
          <w:tcPr>
            <w:tcW w:w="216" w:type="dxa"/>
            <w:tcBorders>
              <w:top w:val="nil"/>
              <w:left w:val="nil"/>
              <w:bottom w:val="nil"/>
              <w:right w:val="nil"/>
            </w:tcBorders>
            <w:tcMar>
              <w:left w:w="58" w:type="dxa"/>
              <w:right w:w="58" w:type="dxa"/>
            </w:tcMar>
          </w:tcPr>
          <w:p w14:paraId="27149B39"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C938FE1"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403911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37E1FDD7"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3D3FCD1"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2696C45B"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00F7963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54AE74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596FE63"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5CA9E368" w14:textId="77777777" w:rsidR="007371C5" w:rsidRPr="00C2676B" w:rsidRDefault="007371C5" w:rsidP="00356AA0">
            <w:pPr>
              <w:jc w:val="center"/>
              <w:rPr>
                <w:rFonts w:ascii="Times New Roman" w:hAnsi="Times New Roman" w:cs="Times New Roman"/>
                <w:sz w:val="19"/>
                <w:szCs w:val="19"/>
              </w:rPr>
            </w:pPr>
          </w:p>
        </w:tc>
      </w:tr>
      <w:tr w:rsidR="007371C5" w:rsidRPr="00C2676B" w14:paraId="5EB485F4" w14:textId="77777777" w:rsidTr="00356AA0">
        <w:tc>
          <w:tcPr>
            <w:tcW w:w="2960" w:type="dxa"/>
            <w:tcBorders>
              <w:top w:val="single" w:sz="4" w:space="0" w:color="auto"/>
              <w:bottom w:val="nil"/>
              <w:right w:val="nil"/>
            </w:tcBorders>
            <w:tcMar>
              <w:left w:w="58" w:type="dxa"/>
              <w:right w:w="58" w:type="dxa"/>
            </w:tcMar>
          </w:tcPr>
          <w:p w14:paraId="3BEB157F"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Overall Model</w:t>
            </w:r>
          </w:p>
        </w:tc>
        <w:tc>
          <w:tcPr>
            <w:tcW w:w="216" w:type="dxa"/>
            <w:tcBorders>
              <w:top w:val="nil"/>
              <w:left w:val="nil"/>
              <w:bottom w:val="nil"/>
              <w:right w:val="nil"/>
            </w:tcBorders>
            <w:tcMar>
              <w:left w:w="58" w:type="dxa"/>
              <w:right w:w="58" w:type="dxa"/>
            </w:tcMar>
          </w:tcPr>
          <w:p w14:paraId="44A47EC8"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5A089BB"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6.49</w:t>
            </w:r>
          </w:p>
        </w:tc>
        <w:tc>
          <w:tcPr>
            <w:tcW w:w="216" w:type="dxa"/>
            <w:tcBorders>
              <w:top w:val="nil"/>
              <w:left w:val="nil"/>
              <w:bottom w:val="nil"/>
              <w:right w:val="nil"/>
            </w:tcBorders>
            <w:tcMar>
              <w:left w:w="58" w:type="dxa"/>
              <w:right w:w="58" w:type="dxa"/>
            </w:tcMar>
          </w:tcPr>
          <w:p w14:paraId="2AD0CB4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27138F34"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&lt; 0.001*</w:t>
            </w:r>
          </w:p>
        </w:tc>
        <w:tc>
          <w:tcPr>
            <w:tcW w:w="216" w:type="dxa"/>
            <w:tcBorders>
              <w:top w:val="nil"/>
              <w:left w:val="nil"/>
              <w:bottom w:val="nil"/>
              <w:right w:val="nil"/>
            </w:tcBorders>
          </w:tcPr>
          <w:p w14:paraId="34699602"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51AC959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64F33A36"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620D159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2B0211E1"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0974BE48" w14:textId="77777777" w:rsidR="007371C5" w:rsidRPr="00C2676B" w:rsidRDefault="007371C5" w:rsidP="00356AA0">
            <w:pPr>
              <w:jc w:val="center"/>
              <w:rPr>
                <w:rFonts w:ascii="Times New Roman" w:hAnsi="Times New Roman" w:cs="Times New Roman"/>
                <w:sz w:val="19"/>
                <w:szCs w:val="19"/>
              </w:rPr>
            </w:pPr>
          </w:p>
        </w:tc>
      </w:tr>
      <w:tr w:rsidR="007371C5" w:rsidRPr="00C2676B" w14:paraId="6915AE64" w14:textId="77777777" w:rsidTr="00356AA0">
        <w:tc>
          <w:tcPr>
            <w:tcW w:w="2960" w:type="dxa"/>
            <w:tcBorders>
              <w:top w:val="nil"/>
              <w:bottom w:val="nil"/>
              <w:right w:val="nil"/>
            </w:tcBorders>
            <w:tcMar>
              <w:left w:w="58" w:type="dxa"/>
              <w:right w:w="58" w:type="dxa"/>
            </w:tcMar>
          </w:tcPr>
          <w:p w14:paraId="4E83CB84"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Family income</w:t>
            </w:r>
          </w:p>
        </w:tc>
        <w:tc>
          <w:tcPr>
            <w:tcW w:w="216" w:type="dxa"/>
            <w:tcBorders>
              <w:top w:val="nil"/>
              <w:left w:val="nil"/>
              <w:bottom w:val="nil"/>
              <w:right w:val="nil"/>
            </w:tcBorders>
            <w:tcMar>
              <w:left w:w="58" w:type="dxa"/>
              <w:right w:w="58" w:type="dxa"/>
            </w:tcMar>
          </w:tcPr>
          <w:p w14:paraId="312353AE"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34E140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5640865"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9A2E41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914C7DA"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2D43E850"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0.153</w:t>
            </w:r>
          </w:p>
        </w:tc>
        <w:tc>
          <w:tcPr>
            <w:tcW w:w="216" w:type="dxa"/>
            <w:tcBorders>
              <w:top w:val="nil"/>
              <w:left w:val="nil"/>
              <w:bottom w:val="nil"/>
              <w:right w:val="nil"/>
            </w:tcBorders>
            <w:tcMar>
              <w:left w:w="58" w:type="dxa"/>
              <w:right w:w="58" w:type="dxa"/>
            </w:tcMar>
          </w:tcPr>
          <w:p w14:paraId="2134111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65816D62"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1.93</w:t>
            </w:r>
          </w:p>
        </w:tc>
        <w:tc>
          <w:tcPr>
            <w:tcW w:w="216" w:type="dxa"/>
            <w:tcBorders>
              <w:top w:val="nil"/>
              <w:left w:val="nil"/>
              <w:bottom w:val="nil"/>
              <w:right w:val="nil"/>
            </w:tcBorders>
          </w:tcPr>
          <w:p w14:paraId="314E3F5D"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1E1A8CE"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0.055</w:t>
            </w:r>
          </w:p>
        </w:tc>
      </w:tr>
      <w:tr w:rsidR="007371C5" w:rsidRPr="00C2676B" w14:paraId="3810B693" w14:textId="77777777" w:rsidTr="00356AA0">
        <w:tc>
          <w:tcPr>
            <w:tcW w:w="2960" w:type="dxa"/>
            <w:tcBorders>
              <w:top w:val="nil"/>
              <w:bottom w:val="nil"/>
              <w:right w:val="nil"/>
            </w:tcBorders>
            <w:tcMar>
              <w:left w:w="58" w:type="dxa"/>
              <w:right w:w="58" w:type="dxa"/>
            </w:tcMar>
          </w:tcPr>
          <w:p w14:paraId="7FD01E12"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Neighborhood disadvantage</w:t>
            </w:r>
          </w:p>
        </w:tc>
        <w:tc>
          <w:tcPr>
            <w:tcW w:w="216" w:type="dxa"/>
            <w:tcBorders>
              <w:top w:val="nil"/>
              <w:left w:val="nil"/>
              <w:bottom w:val="nil"/>
              <w:right w:val="nil"/>
            </w:tcBorders>
            <w:tcMar>
              <w:left w:w="58" w:type="dxa"/>
              <w:right w:w="58" w:type="dxa"/>
            </w:tcMar>
          </w:tcPr>
          <w:p w14:paraId="6E1EA062"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7FBB595"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E71D0D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6F65E5C1"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32BFD8C"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39AAB502"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-0.106</w:t>
            </w:r>
          </w:p>
        </w:tc>
        <w:tc>
          <w:tcPr>
            <w:tcW w:w="216" w:type="dxa"/>
            <w:tcBorders>
              <w:top w:val="nil"/>
              <w:left w:val="nil"/>
              <w:bottom w:val="nil"/>
              <w:right w:val="nil"/>
            </w:tcBorders>
            <w:tcMar>
              <w:left w:w="58" w:type="dxa"/>
              <w:right w:w="58" w:type="dxa"/>
            </w:tcMar>
          </w:tcPr>
          <w:p w14:paraId="64EEDCB3"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A95AA1A"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-1.36</w:t>
            </w:r>
          </w:p>
        </w:tc>
        <w:tc>
          <w:tcPr>
            <w:tcW w:w="216" w:type="dxa"/>
            <w:tcBorders>
              <w:top w:val="nil"/>
              <w:left w:val="nil"/>
              <w:bottom w:val="nil"/>
              <w:right w:val="nil"/>
            </w:tcBorders>
          </w:tcPr>
          <w:p w14:paraId="1AAB7094"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E0A9C08"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0.175</w:t>
            </w:r>
          </w:p>
        </w:tc>
      </w:tr>
      <w:tr w:rsidR="007371C5" w:rsidRPr="00C2676B" w14:paraId="6D8B8493" w14:textId="77777777" w:rsidTr="00356AA0">
        <w:tc>
          <w:tcPr>
            <w:tcW w:w="2960" w:type="dxa"/>
            <w:tcBorders>
              <w:top w:val="nil"/>
              <w:bottom w:val="nil"/>
              <w:right w:val="nil"/>
            </w:tcBorders>
            <w:tcMar>
              <w:left w:w="58" w:type="dxa"/>
              <w:right w:w="58" w:type="dxa"/>
            </w:tcMar>
          </w:tcPr>
          <w:p w14:paraId="7438ECCE"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Violence exposure</w:t>
            </w:r>
          </w:p>
        </w:tc>
        <w:tc>
          <w:tcPr>
            <w:tcW w:w="216" w:type="dxa"/>
            <w:tcBorders>
              <w:top w:val="nil"/>
              <w:left w:val="nil"/>
              <w:bottom w:val="nil"/>
              <w:right w:val="nil"/>
            </w:tcBorders>
            <w:tcMar>
              <w:left w:w="58" w:type="dxa"/>
              <w:right w:w="58" w:type="dxa"/>
            </w:tcMar>
          </w:tcPr>
          <w:p w14:paraId="46E19F02"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89DF973"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F7795E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69BFAD8A"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79717E6A"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120BAF4F"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-0.026</w:t>
            </w:r>
          </w:p>
        </w:tc>
        <w:tc>
          <w:tcPr>
            <w:tcW w:w="216" w:type="dxa"/>
            <w:tcBorders>
              <w:top w:val="nil"/>
              <w:left w:val="nil"/>
              <w:bottom w:val="nil"/>
              <w:right w:val="nil"/>
            </w:tcBorders>
            <w:tcMar>
              <w:left w:w="58" w:type="dxa"/>
              <w:right w:w="58" w:type="dxa"/>
            </w:tcMar>
          </w:tcPr>
          <w:p w14:paraId="6551147B"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28BA805"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-0.388</w:t>
            </w:r>
          </w:p>
        </w:tc>
        <w:tc>
          <w:tcPr>
            <w:tcW w:w="216" w:type="dxa"/>
            <w:tcBorders>
              <w:top w:val="nil"/>
              <w:left w:val="nil"/>
              <w:bottom w:val="nil"/>
              <w:right w:val="nil"/>
            </w:tcBorders>
          </w:tcPr>
          <w:p w14:paraId="72B9B2E3"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59109E08"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0.699</w:t>
            </w:r>
          </w:p>
        </w:tc>
      </w:tr>
      <w:tr w:rsidR="007371C5" w:rsidRPr="00C2676B" w14:paraId="18B56085" w14:textId="77777777" w:rsidTr="00356AA0">
        <w:tc>
          <w:tcPr>
            <w:tcW w:w="2960" w:type="dxa"/>
            <w:tcBorders>
              <w:top w:val="nil"/>
              <w:bottom w:val="nil"/>
              <w:right w:val="nil"/>
            </w:tcBorders>
            <w:tcMar>
              <w:left w:w="58" w:type="dxa"/>
              <w:right w:w="58" w:type="dxa"/>
            </w:tcMar>
          </w:tcPr>
          <w:p w14:paraId="1C69FC48" w14:textId="77777777" w:rsidR="007371C5" w:rsidRPr="00C2676B" w:rsidRDefault="007371C5" w:rsidP="00356AA0">
            <w:pPr>
              <w:jc w:val="right"/>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90019D1"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3EB419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73400F73"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7B9DA78F"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6A3211A8"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1DDC4BDA"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7569A4D"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406A46FA"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4831B7D7"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366696D6" w14:textId="77777777" w:rsidR="007371C5" w:rsidRPr="00C2676B" w:rsidRDefault="007371C5" w:rsidP="00356AA0">
            <w:pPr>
              <w:jc w:val="center"/>
              <w:rPr>
                <w:rFonts w:ascii="Times New Roman" w:hAnsi="Times New Roman" w:cs="Times New Roman"/>
                <w:sz w:val="19"/>
                <w:szCs w:val="19"/>
              </w:rPr>
            </w:pPr>
          </w:p>
        </w:tc>
      </w:tr>
      <w:tr w:rsidR="007371C5" w:rsidRPr="00C2676B" w14:paraId="6AD05996" w14:textId="77777777" w:rsidTr="00356AA0">
        <w:tc>
          <w:tcPr>
            <w:tcW w:w="2960" w:type="dxa"/>
            <w:tcBorders>
              <w:top w:val="nil"/>
              <w:bottom w:val="single" w:sz="4" w:space="0" w:color="auto"/>
              <w:right w:val="nil"/>
            </w:tcBorders>
            <w:tcMar>
              <w:left w:w="58" w:type="dxa"/>
              <w:right w:w="58" w:type="dxa"/>
            </w:tcMar>
          </w:tcPr>
          <w:p w14:paraId="01447A74"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sz w:val="19"/>
                <w:szCs w:val="19"/>
              </w:rPr>
              <w:t>Right Stria Terminalis/Fornix (QA)</w:t>
            </w:r>
          </w:p>
        </w:tc>
        <w:tc>
          <w:tcPr>
            <w:tcW w:w="216" w:type="dxa"/>
            <w:tcBorders>
              <w:top w:val="nil"/>
              <w:left w:val="nil"/>
              <w:bottom w:val="nil"/>
              <w:right w:val="nil"/>
            </w:tcBorders>
            <w:tcMar>
              <w:left w:w="58" w:type="dxa"/>
              <w:right w:w="58" w:type="dxa"/>
            </w:tcMar>
          </w:tcPr>
          <w:p w14:paraId="3B1A6718"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EF1CAF9"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D04B429"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58804C8E"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4D05BE40"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70606ED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E894D41"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46588F6"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364410BF"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6C433EE2" w14:textId="77777777" w:rsidR="007371C5" w:rsidRPr="00C2676B" w:rsidRDefault="007371C5" w:rsidP="00356AA0">
            <w:pPr>
              <w:jc w:val="center"/>
              <w:rPr>
                <w:rFonts w:ascii="Times New Roman" w:hAnsi="Times New Roman" w:cs="Times New Roman"/>
                <w:sz w:val="19"/>
                <w:szCs w:val="19"/>
              </w:rPr>
            </w:pPr>
          </w:p>
        </w:tc>
      </w:tr>
      <w:tr w:rsidR="007371C5" w:rsidRPr="00C2676B" w14:paraId="46C3C791" w14:textId="77777777" w:rsidTr="00356AA0">
        <w:tc>
          <w:tcPr>
            <w:tcW w:w="2960" w:type="dxa"/>
            <w:tcBorders>
              <w:top w:val="single" w:sz="4" w:space="0" w:color="auto"/>
              <w:bottom w:val="nil"/>
              <w:right w:val="nil"/>
            </w:tcBorders>
            <w:tcMar>
              <w:left w:w="58" w:type="dxa"/>
              <w:right w:w="58" w:type="dxa"/>
            </w:tcMar>
          </w:tcPr>
          <w:p w14:paraId="5609C880"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Overall Model</w:t>
            </w:r>
          </w:p>
        </w:tc>
        <w:tc>
          <w:tcPr>
            <w:tcW w:w="216" w:type="dxa"/>
            <w:tcBorders>
              <w:top w:val="nil"/>
              <w:left w:val="nil"/>
              <w:bottom w:val="nil"/>
              <w:right w:val="nil"/>
            </w:tcBorders>
            <w:tcMar>
              <w:left w:w="58" w:type="dxa"/>
              <w:right w:w="58" w:type="dxa"/>
            </w:tcMar>
          </w:tcPr>
          <w:p w14:paraId="505DBDD3"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7483400"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6.69</w:t>
            </w:r>
          </w:p>
        </w:tc>
        <w:tc>
          <w:tcPr>
            <w:tcW w:w="216" w:type="dxa"/>
            <w:tcBorders>
              <w:top w:val="nil"/>
              <w:left w:val="nil"/>
              <w:bottom w:val="nil"/>
              <w:right w:val="nil"/>
            </w:tcBorders>
            <w:tcMar>
              <w:left w:w="58" w:type="dxa"/>
              <w:right w:w="58" w:type="dxa"/>
            </w:tcMar>
          </w:tcPr>
          <w:p w14:paraId="67FFB080"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572309CC"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&lt; 0.001*</w:t>
            </w:r>
          </w:p>
        </w:tc>
        <w:tc>
          <w:tcPr>
            <w:tcW w:w="216" w:type="dxa"/>
            <w:tcBorders>
              <w:top w:val="nil"/>
              <w:left w:val="nil"/>
              <w:bottom w:val="nil"/>
              <w:right w:val="nil"/>
            </w:tcBorders>
          </w:tcPr>
          <w:p w14:paraId="763BB524"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6BA124B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00A0CB2"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C95D385"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AE05A66"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6BF8E706" w14:textId="77777777" w:rsidR="007371C5" w:rsidRPr="00C2676B" w:rsidRDefault="007371C5" w:rsidP="00356AA0">
            <w:pPr>
              <w:jc w:val="center"/>
              <w:rPr>
                <w:rFonts w:ascii="Times New Roman" w:hAnsi="Times New Roman" w:cs="Times New Roman"/>
                <w:sz w:val="19"/>
                <w:szCs w:val="19"/>
              </w:rPr>
            </w:pPr>
          </w:p>
        </w:tc>
      </w:tr>
      <w:tr w:rsidR="007371C5" w:rsidRPr="00C2676B" w14:paraId="49E273A9" w14:textId="77777777" w:rsidTr="00356AA0">
        <w:tc>
          <w:tcPr>
            <w:tcW w:w="2960" w:type="dxa"/>
            <w:tcBorders>
              <w:top w:val="nil"/>
              <w:bottom w:val="nil"/>
              <w:right w:val="nil"/>
            </w:tcBorders>
            <w:tcMar>
              <w:left w:w="58" w:type="dxa"/>
              <w:right w:w="58" w:type="dxa"/>
            </w:tcMar>
          </w:tcPr>
          <w:p w14:paraId="5FCBDF37"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Family income</w:t>
            </w:r>
          </w:p>
        </w:tc>
        <w:tc>
          <w:tcPr>
            <w:tcW w:w="216" w:type="dxa"/>
            <w:tcBorders>
              <w:top w:val="nil"/>
              <w:left w:val="nil"/>
              <w:bottom w:val="nil"/>
              <w:right w:val="nil"/>
            </w:tcBorders>
            <w:tcMar>
              <w:left w:w="58" w:type="dxa"/>
              <w:right w:w="58" w:type="dxa"/>
            </w:tcMar>
          </w:tcPr>
          <w:p w14:paraId="2B3F1D25"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F4DD7F4"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862785E"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54B087FD"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135DC696"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0F981B86"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0.087</w:t>
            </w:r>
          </w:p>
        </w:tc>
        <w:tc>
          <w:tcPr>
            <w:tcW w:w="216" w:type="dxa"/>
            <w:tcBorders>
              <w:top w:val="nil"/>
              <w:left w:val="nil"/>
              <w:bottom w:val="nil"/>
              <w:right w:val="nil"/>
            </w:tcBorders>
            <w:tcMar>
              <w:left w:w="58" w:type="dxa"/>
              <w:right w:w="58" w:type="dxa"/>
            </w:tcMar>
          </w:tcPr>
          <w:p w14:paraId="59648B8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014A1F41"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1.10</w:t>
            </w:r>
          </w:p>
        </w:tc>
        <w:tc>
          <w:tcPr>
            <w:tcW w:w="216" w:type="dxa"/>
            <w:tcBorders>
              <w:top w:val="nil"/>
              <w:left w:val="nil"/>
              <w:bottom w:val="nil"/>
              <w:right w:val="nil"/>
            </w:tcBorders>
          </w:tcPr>
          <w:p w14:paraId="139DA63B"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1FEDFF5"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0.271</w:t>
            </w:r>
          </w:p>
        </w:tc>
      </w:tr>
      <w:tr w:rsidR="007371C5" w:rsidRPr="00C2676B" w14:paraId="7510617F" w14:textId="77777777" w:rsidTr="00356AA0">
        <w:tc>
          <w:tcPr>
            <w:tcW w:w="2960" w:type="dxa"/>
            <w:tcBorders>
              <w:top w:val="nil"/>
              <w:bottom w:val="nil"/>
              <w:right w:val="nil"/>
            </w:tcBorders>
            <w:tcMar>
              <w:left w:w="58" w:type="dxa"/>
              <w:right w:w="58" w:type="dxa"/>
            </w:tcMar>
          </w:tcPr>
          <w:p w14:paraId="0F7BFEB0"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Neighborhood disadvantage</w:t>
            </w:r>
          </w:p>
        </w:tc>
        <w:tc>
          <w:tcPr>
            <w:tcW w:w="216" w:type="dxa"/>
            <w:tcBorders>
              <w:top w:val="nil"/>
              <w:left w:val="nil"/>
              <w:bottom w:val="nil"/>
              <w:right w:val="nil"/>
            </w:tcBorders>
            <w:tcMar>
              <w:left w:w="58" w:type="dxa"/>
              <w:right w:w="58" w:type="dxa"/>
            </w:tcMar>
          </w:tcPr>
          <w:p w14:paraId="22E67178"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7D9BBFAA"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5B14CA00"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47965BE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6E50C16C"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2B194CE3"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-0.163</w:t>
            </w:r>
          </w:p>
        </w:tc>
        <w:tc>
          <w:tcPr>
            <w:tcW w:w="216" w:type="dxa"/>
            <w:tcBorders>
              <w:top w:val="nil"/>
              <w:left w:val="nil"/>
              <w:bottom w:val="nil"/>
              <w:right w:val="nil"/>
            </w:tcBorders>
            <w:tcMar>
              <w:left w:w="58" w:type="dxa"/>
              <w:right w:w="58" w:type="dxa"/>
            </w:tcMar>
          </w:tcPr>
          <w:p w14:paraId="04A775AA"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27599C07"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-2.10</w:t>
            </w:r>
          </w:p>
        </w:tc>
        <w:tc>
          <w:tcPr>
            <w:tcW w:w="216" w:type="dxa"/>
            <w:tcBorders>
              <w:top w:val="nil"/>
              <w:left w:val="nil"/>
              <w:bottom w:val="nil"/>
              <w:right w:val="nil"/>
            </w:tcBorders>
          </w:tcPr>
          <w:p w14:paraId="33C384E5"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6ECE228D"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0.037</w:t>
            </w:r>
          </w:p>
        </w:tc>
      </w:tr>
      <w:tr w:rsidR="007371C5" w:rsidRPr="00C2676B" w14:paraId="728C2F69" w14:textId="77777777" w:rsidTr="00356AA0">
        <w:tc>
          <w:tcPr>
            <w:tcW w:w="2960" w:type="dxa"/>
            <w:tcBorders>
              <w:top w:val="nil"/>
              <w:bottom w:val="nil"/>
              <w:right w:val="nil"/>
            </w:tcBorders>
            <w:tcMar>
              <w:left w:w="58" w:type="dxa"/>
              <w:right w:w="58" w:type="dxa"/>
            </w:tcMar>
          </w:tcPr>
          <w:p w14:paraId="10794318" w14:textId="77777777" w:rsidR="007371C5" w:rsidRPr="00C2676B" w:rsidRDefault="007371C5" w:rsidP="00356AA0">
            <w:pPr>
              <w:jc w:val="right"/>
              <w:rPr>
                <w:rFonts w:ascii="Times New Roman" w:hAnsi="Times New Roman" w:cs="Times New Roman"/>
                <w:sz w:val="19"/>
                <w:szCs w:val="19"/>
              </w:rPr>
            </w:pPr>
            <w:r w:rsidRPr="00C2676B">
              <w:rPr>
                <w:rFonts w:ascii="Times New Roman" w:hAnsi="Times New Roman" w:cs="Times New Roman"/>
                <w:sz w:val="19"/>
                <w:szCs w:val="19"/>
              </w:rPr>
              <w:t>Violence exposure</w:t>
            </w:r>
          </w:p>
        </w:tc>
        <w:tc>
          <w:tcPr>
            <w:tcW w:w="216" w:type="dxa"/>
            <w:tcBorders>
              <w:top w:val="nil"/>
              <w:left w:val="nil"/>
              <w:bottom w:val="nil"/>
              <w:right w:val="nil"/>
            </w:tcBorders>
            <w:tcMar>
              <w:left w:w="58" w:type="dxa"/>
              <w:right w:w="58" w:type="dxa"/>
            </w:tcMar>
          </w:tcPr>
          <w:p w14:paraId="170FB03C"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4FE8B055"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CC1921C"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190EFED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6F540AB9"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062C3C05"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-0.038</w:t>
            </w:r>
          </w:p>
        </w:tc>
        <w:tc>
          <w:tcPr>
            <w:tcW w:w="216" w:type="dxa"/>
            <w:tcBorders>
              <w:top w:val="nil"/>
              <w:left w:val="nil"/>
              <w:bottom w:val="nil"/>
              <w:right w:val="nil"/>
            </w:tcBorders>
            <w:tcMar>
              <w:left w:w="58" w:type="dxa"/>
              <w:right w:w="58" w:type="dxa"/>
            </w:tcMar>
          </w:tcPr>
          <w:p w14:paraId="6A073300"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313C8721"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-0.565</w:t>
            </w:r>
          </w:p>
        </w:tc>
        <w:tc>
          <w:tcPr>
            <w:tcW w:w="216" w:type="dxa"/>
            <w:tcBorders>
              <w:top w:val="nil"/>
              <w:left w:val="nil"/>
              <w:bottom w:val="nil"/>
              <w:right w:val="nil"/>
            </w:tcBorders>
          </w:tcPr>
          <w:p w14:paraId="7A18C7B0"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23B1AED0" w14:textId="77777777" w:rsidR="007371C5" w:rsidRPr="00C2676B" w:rsidRDefault="007371C5" w:rsidP="00356AA0">
            <w:pPr>
              <w:jc w:val="center"/>
              <w:rPr>
                <w:rFonts w:ascii="Times New Roman" w:hAnsi="Times New Roman" w:cs="Times New Roman"/>
                <w:sz w:val="19"/>
                <w:szCs w:val="19"/>
              </w:rPr>
            </w:pPr>
            <w:r w:rsidRPr="00C2676B">
              <w:rPr>
                <w:rFonts w:ascii="Times New Roman" w:hAnsi="Times New Roman" w:cs="Times New Roman"/>
                <w:sz w:val="19"/>
                <w:szCs w:val="19"/>
              </w:rPr>
              <w:t>0.572</w:t>
            </w:r>
          </w:p>
        </w:tc>
      </w:tr>
      <w:tr w:rsidR="007371C5" w:rsidRPr="00C2676B" w14:paraId="58B57E7D" w14:textId="77777777" w:rsidTr="00356AA0">
        <w:tc>
          <w:tcPr>
            <w:tcW w:w="2960" w:type="dxa"/>
            <w:tcBorders>
              <w:top w:val="nil"/>
              <w:bottom w:val="nil"/>
              <w:right w:val="nil"/>
            </w:tcBorders>
            <w:tcMar>
              <w:left w:w="58" w:type="dxa"/>
              <w:right w:w="58" w:type="dxa"/>
            </w:tcMar>
          </w:tcPr>
          <w:p w14:paraId="0703C4C9" w14:textId="77777777" w:rsidR="007371C5" w:rsidRPr="00C2676B" w:rsidRDefault="007371C5" w:rsidP="00356AA0">
            <w:pPr>
              <w:jc w:val="right"/>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36A10D64" w14:textId="77777777" w:rsidR="007371C5" w:rsidRPr="00C2676B" w:rsidRDefault="007371C5" w:rsidP="00356AA0">
            <w:pP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5B8B7BE9"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111D7788"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Pr>
          <w:p w14:paraId="327F66BC"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5C951B54" w14:textId="77777777" w:rsidR="007371C5" w:rsidRPr="00C2676B" w:rsidRDefault="007371C5" w:rsidP="00356AA0">
            <w:pPr>
              <w:jc w:val="center"/>
              <w:rPr>
                <w:rFonts w:ascii="Times New Roman" w:hAnsi="Times New Roman" w:cs="Times New Roman"/>
                <w:sz w:val="19"/>
                <w:szCs w:val="19"/>
              </w:rPr>
            </w:pPr>
          </w:p>
        </w:tc>
        <w:tc>
          <w:tcPr>
            <w:tcW w:w="864" w:type="dxa"/>
            <w:tcBorders>
              <w:top w:val="nil"/>
              <w:left w:val="nil"/>
              <w:bottom w:val="nil"/>
              <w:right w:val="nil"/>
            </w:tcBorders>
            <w:tcMar>
              <w:left w:w="58" w:type="dxa"/>
              <w:right w:w="58" w:type="dxa"/>
            </w:tcMar>
          </w:tcPr>
          <w:p w14:paraId="5F4647F8"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Mar>
              <w:left w:w="58" w:type="dxa"/>
              <w:right w:w="58" w:type="dxa"/>
            </w:tcMar>
          </w:tcPr>
          <w:p w14:paraId="2643E8DC" w14:textId="77777777" w:rsidR="007371C5" w:rsidRPr="00C2676B" w:rsidRDefault="007371C5" w:rsidP="00356AA0">
            <w:pPr>
              <w:jc w:val="center"/>
              <w:rPr>
                <w:rFonts w:ascii="Times New Roman" w:hAnsi="Times New Roman" w:cs="Times New Roman"/>
                <w:sz w:val="19"/>
                <w:szCs w:val="19"/>
              </w:rPr>
            </w:pPr>
          </w:p>
        </w:tc>
        <w:tc>
          <w:tcPr>
            <w:tcW w:w="1080" w:type="dxa"/>
            <w:tcBorders>
              <w:top w:val="nil"/>
              <w:left w:val="nil"/>
              <w:bottom w:val="nil"/>
              <w:right w:val="nil"/>
            </w:tcBorders>
            <w:tcMar>
              <w:left w:w="58" w:type="dxa"/>
              <w:right w:w="58" w:type="dxa"/>
            </w:tcMar>
          </w:tcPr>
          <w:p w14:paraId="16490BC1" w14:textId="77777777" w:rsidR="007371C5" w:rsidRPr="00C2676B" w:rsidRDefault="007371C5" w:rsidP="00356AA0">
            <w:pPr>
              <w:jc w:val="center"/>
              <w:rPr>
                <w:rFonts w:ascii="Times New Roman" w:hAnsi="Times New Roman" w:cs="Times New Roman"/>
                <w:sz w:val="19"/>
                <w:szCs w:val="19"/>
              </w:rPr>
            </w:pPr>
          </w:p>
        </w:tc>
        <w:tc>
          <w:tcPr>
            <w:tcW w:w="216" w:type="dxa"/>
            <w:tcBorders>
              <w:top w:val="nil"/>
              <w:left w:val="nil"/>
              <w:bottom w:val="nil"/>
              <w:right w:val="nil"/>
            </w:tcBorders>
          </w:tcPr>
          <w:p w14:paraId="0B5497B3" w14:textId="77777777" w:rsidR="007371C5" w:rsidRPr="00C2676B" w:rsidRDefault="007371C5" w:rsidP="00356AA0">
            <w:pPr>
              <w:jc w:val="center"/>
              <w:rPr>
                <w:rFonts w:ascii="Times New Roman" w:hAnsi="Times New Roman" w:cs="Times New Roman"/>
                <w:sz w:val="19"/>
                <w:szCs w:val="19"/>
              </w:rPr>
            </w:pPr>
          </w:p>
        </w:tc>
        <w:tc>
          <w:tcPr>
            <w:tcW w:w="1080" w:type="dxa"/>
            <w:gridSpan w:val="2"/>
            <w:tcBorders>
              <w:top w:val="nil"/>
              <w:left w:val="nil"/>
              <w:bottom w:val="nil"/>
            </w:tcBorders>
          </w:tcPr>
          <w:p w14:paraId="474C646D" w14:textId="77777777" w:rsidR="007371C5" w:rsidRPr="00C2676B" w:rsidRDefault="007371C5" w:rsidP="00356AA0">
            <w:pPr>
              <w:jc w:val="center"/>
              <w:rPr>
                <w:rFonts w:ascii="Times New Roman" w:hAnsi="Times New Roman" w:cs="Times New Roman"/>
                <w:sz w:val="19"/>
                <w:szCs w:val="19"/>
              </w:rPr>
            </w:pPr>
          </w:p>
        </w:tc>
      </w:tr>
      <w:tr w:rsidR="007371C5" w:rsidRPr="00C2676B" w14:paraId="50CB2307" w14:textId="77777777" w:rsidTr="00356AA0">
        <w:trPr>
          <w:gridAfter w:val="1"/>
          <w:wAfter w:w="44" w:type="dxa"/>
        </w:trPr>
        <w:tc>
          <w:tcPr>
            <w:tcW w:w="9180" w:type="dxa"/>
            <w:gridSpan w:val="11"/>
            <w:tcBorders>
              <w:top w:val="single" w:sz="4" w:space="0" w:color="auto"/>
            </w:tcBorders>
            <w:tcMar>
              <w:left w:w="58" w:type="dxa"/>
              <w:right w:w="58" w:type="dxa"/>
            </w:tcMar>
          </w:tcPr>
          <w:p w14:paraId="45C279E5" w14:textId="77777777" w:rsidR="007371C5" w:rsidRPr="00C2676B" w:rsidRDefault="007371C5" w:rsidP="00356AA0">
            <w:pPr>
              <w:rPr>
                <w:rFonts w:ascii="Times New Roman" w:hAnsi="Times New Roman" w:cs="Times New Roman"/>
                <w:sz w:val="19"/>
                <w:szCs w:val="19"/>
              </w:rPr>
            </w:pPr>
            <w:r w:rsidRPr="00C2676B">
              <w:rPr>
                <w:rFonts w:ascii="Times New Roman" w:hAnsi="Times New Roman" w:cs="Times New Roman"/>
                <w:i/>
                <w:sz w:val="19"/>
                <w:szCs w:val="19"/>
              </w:rPr>
              <w:t>Note</w:t>
            </w:r>
            <w:r w:rsidRPr="00C2676B">
              <w:rPr>
                <w:rFonts w:ascii="Times New Roman" w:hAnsi="Times New Roman" w:cs="Times New Roman"/>
                <w:sz w:val="19"/>
                <w:szCs w:val="19"/>
              </w:rPr>
              <w:t xml:space="preserve">: Linear regressions predicting quantitative anisotropy (QA) from T1 family income, neighborhood disadvantage, and violence exposure.  F-statistics indicating the significance of each overall model are reported. Standardized beta values are presented. Cingulum bundle n = 281, Uncinate fasciculus n = 266, Stria terminalis/fornix n = 232. </w:t>
            </w:r>
          </w:p>
        </w:tc>
      </w:tr>
    </w:tbl>
    <w:p w14:paraId="731527F7" w14:textId="77777777" w:rsidR="007371C5" w:rsidRDefault="007371C5">
      <w:pPr>
        <w:rPr>
          <w:rFonts w:ascii="Times New Roman" w:hAnsi="Times New Roman" w:cs="Times New Roman"/>
          <w:b/>
          <w:bCs/>
        </w:rPr>
      </w:pPr>
    </w:p>
    <w:p w14:paraId="0AAF106D" w14:textId="6CA78E90" w:rsidR="007371C5" w:rsidRDefault="007371C5">
      <w:pPr>
        <w:rPr>
          <w:rFonts w:ascii="Times New Roman" w:hAnsi="Times New Roman" w:cs="Times New Roman"/>
          <w:b/>
          <w:bCs/>
        </w:rPr>
      </w:pPr>
      <w:r>
        <w:rPr>
          <w:rFonts w:ascii="Times New Roman" w:hAnsi="Times New Roman" w:cs="Times New Roman"/>
          <w:b/>
          <w:bCs/>
        </w:rPr>
        <w:br w:type="page"/>
      </w:r>
    </w:p>
    <w:p w14:paraId="584315E9" w14:textId="77777777" w:rsidR="007371C5" w:rsidRDefault="007371C5">
      <w:pPr>
        <w:rPr>
          <w:rFonts w:ascii="Times New Roman" w:hAnsi="Times New Roman" w:cs="Times New Roman"/>
          <w:b/>
          <w:bCs/>
        </w:rPr>
      </w:pPr>
    </w:p>
    <w:tbl>
      <w:tblPr>
        <w:tblStyle w:val="TableGrid"/>
        <w:tblpPr w:leftFromText="180" w:rightFromText="180" w:vertAnchor="text" w:horzAnchor="margin" w:tblpY="432"/>
        <w:tblW w:w="9644" w:type="dxa"/>
        <w:tblBorders>
          <w:top w:val="none" w:sz="0" w:space="0" w:color="auto"/>
          <w:left w:val="none" w:sz="0" w:space="0" w:color="auto"/>
          <w:bottom w:val="none" w:sz="0" w:space="0" w:color="auto"/>
          <w:right w:val="none" w:sz="0" w:space="0" w:color="auto"/>
        </w:tblBorders>
        <w:tblLayout w:type="fixed"/>
        <w:tblCellMar>
          <w:left w:w="58" w:type="dxa"/>
          <w:right w:w="58" w:type="dxa"/>
        </w:tblCellMar>
        <w:tblLook w:val="04A0" w:firstRow="1" w:lastRow="0" w:firstColumn="1" w:lastColumn="0" w:noHBand="0" w:noVBand="1"/>
      </w:tblPr>
      <w:tblGrid>
        <w:gridCol w:w="3380"/>
        <w:gridCol w:w="216"/>
        <w:gridCol w:w="1080"/>
        <w:gridCol w:w="216"/>
        <w:gridCol w:w="1080"/>
        <w:gridCol w:w="216"/>
        <w:gridCol w:w="864"/>
        <w:gridCol w:w="216"/>
        <w:gridCol w:w="1080"/>
        <w:gridCol w:w="216"/>
        <w:gridCol w:w="1066"/>
        <w:gridCol w:w="14"/>
      </w:tblGrid>
      <w:tr w:rsidR="007371C5" w:rsidRPr="006A11F3" w14:paraId="22F1571A" w14:textId="77777777" w:rsidTr="00356AA0">
        <w:trPr>
          <w:gridAfter w:val="1"/>
          <w:wAfter w:w="14" w:type="dxa"/>
        </w:trPr>
        <w:tc>
          <w:tcPr>
            <w:tcW w:w="9630" w:type="dxa"/>
            <w:gridSpan w:val="11"/>
            <w:tcBorders>
              <w:bottom w:val="single" w:sz="4" w:space="0" w:color="auto"/>
            </w:tcBorders>
            <w:tcMar>
              <w:left w:w="58" w:type="dxa"/>
              <w:right w:w="58" w:type="dxa"/>
            </w:tcMar>
          </w:tcPr>
          <w:p w14:paraId="59E78BF7" w14:textId="77777777" w:rsidR="007371C5" w:rsidRPr="006A11F3" w:rsidRDefault="007371C5" w:rsidP="00356AA0">
            <w:pPr>
              <w:snapToGrid w:val="0"/>
              <w:rPr>
                <w:rFonts w:ascii="Times New Roman" w:hAnsi="Times New Roman" w:cs="Times New Roman"/>
                <w:sz w:val="24"/>
                <w:szCs w:val="24"/>
              </w:rPr>
            </w:pPr>
            <w:r>
              <w:rPr>
                <w:rFonts w:ascii="Times New Roman" w:hAnsi="Times New Roman" w:cs="Times New Roman"/>
                <w:sz w:val="24"/>
                <w:szCs w:val="24"/>
              </w:rPr>
              <w:t>Supplementary Table S4</w:t>
            </w:r>
            <w:r w:rsidRPr="006A11F3">
              <w:rPr>
                <w:rFonts w:ascii="Times New Roman" w:hAnsi="Times New Roman" w:cs="Times New Roman"/>
                <w:sz w:val="24"/>
                <w:szCs w:val="24"/>
              </w:rPr>
              <w:t xml:space="preserve">. Results of </w:t>
            </w:r>
            <w:r>
              <w:rPr>
                <w:rFonts w:ascii="Times New Roman" w:hAnsi="Times New Roman" w:cs="Times New Roman"/>
                <w:sz w:val="24"/>
                <w:szCs w:val="24"/>
              </w:rPr>
              <w:t>analyses predicting GFA</w:t>
            </w:r>
          </w:p>
        </w:tc>
      </w:tr>
      <w:tr w:rsidR="007371C5" w:rsidRPr="006A11F3" w14:paraId="3B1CC12C" w14:textId="77777777" w:rsidTr="00356AA0">
        <w:tc>
          <w:tcPr>
            <w:tcW w:w="3380" w:type="dxa"/>
            <w:tcBorders>
              <w:top w:val="single" w:sz="4" w:space="0" w:color="auto"/>
              <w:bottom w:val="nil"/>
              <w:right w:val="nil"/>
            </w:tcBorders>
            <w:tcMar>
              <w:left w:w="58" w:type="dxa"/>
              <w:right w:w="58" w:type="dxa"/>
            </w:tcMar>
          </w:tcPr>
          <w:p w14:paraId="1FA74827" w14:textId="77777777" w:rsidR="007371C5" w:rsidRPr="006A11F3" w:rsidRDefault="007371C5" w:rsidP="00356AA0">
            <w:pPr>
              <w:snapToGrid w:val="0"/>
              <w:rPr>
                <w:rFonts w:ascii="Times New Roman" w:hAnsi="Times New Roman" w:cs="Times New Roman"/>
                <w:sz w:val="24"/>
                <w:szCs w:val="24"/>
              </w:rPr>
            </w:pPr>
          </w:p>
        </w:tc>
        <w:tc>
          <w:tcPr>
            <w:tcW w:w="216" w:type="dxa"/>
            <w:tcBorders>
              <w:top w:val="single" w:sz="4" w:space="0" w:color="auto"/>
              <w:left w:val="nil"/>
              <w:bottom w:val="nil"/>
              <w:right w:val="nil"/>
            </w:tcBorders>
            <w:tcMar>
              <w:left w:w="58" w:type="dxa"/>
              <w:right w:w="58" w:type="dxa"/>
            </w:tcMar>
          </w:tcPr>
          <w:p w14:paraId="6F87D37C" w14:textId="77777777" w:rsidR="007371C5" w:rsidRPr="006A11F3" w:rsidRDefault="007371C5" w:rsidP="00356AA0">
            <w:pPr>
              <w:snapToGrid w:val="0"/>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tcMar>
              <w:left w:w="58" w:type="dxa"/>
              <w:right w:w="58" w:type="dxa"/>
            </w:tcMar>
          </w:tcPr>
          <w:p w14:paraId="48C93BA6"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F-statistic</w:t>
            </w:r>
          </w:p>
        </w:tc>
        <w:tc>
          <w:tcPr>
            <w:tcW w:w="216" w:type="dxa"/>
            <w:tcBorders>
              <w:top w:val="single" w:sz="4" w:space="0" w:color="auto"/>
              <w:left w:val="nil"/>
              <w:bottom w:val="nil"/>
              <w:right w:val="nil"/>
            </w:tcBorders>
            <w:tcMar>
              <w:left w:w="58" w:type="dxa"/>
              <w:right w:w="58" w:type="dxa"/>
            </w:tcMar>
          </w:tcPr>
          <w:p w14:paraId="6B023607"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tcMar>
              <w:left w:w="58" w:type="dxa"/>
              <w:right w:w="58" w:type="dxa"/>
            </w:tcMar>
          </w:tcPr>
          <w:p w14:paraId="4EDFABDE"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i/>
                <w:iCs/>
                <w:sz w:val="24"/>
                <w:szCs w:val="24"/>
              </w:rPr>
              <w:t>p</w:t>
            </w:r>
            <w:r w:rsidRPr="006A11F3">
              <w:rPr>
                <w:rFonts w:ascii="Times New Roman" w:hAnsi="Times New Roman" w:cs="Times New Roman"/>
                <w:sz w:val="24"/>
                <w:szCs w:val="24"/>
              </w:rPr>
              <w:t>-value</w:t>
            </w:r>
          </w:p>
        </w:tc>
        <w:tc>
          <w:tcPr>
            <w:tcW w:w="216" w:type="dxa"/>
            <w:tcBorders>
              <w:top w:val="single" w:sz="4" w:space="0" w:color="auto"/>
              <w:left w:val="nil"/>
              <w:bottom w:val="single" w:sz="4" w:space="0" w:color="auto"/>
              <w:right w:val="nil"/>
            </w:tcBorders>
            <w:tcMar>
              <w:left w:w="58" w:type="dxa"/>
              <w:right w:w="58" w:type="dxa"/>
            </w:tcMar>
          </w:tcPr>
          <w:p w14:paraId="75D15144"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single" w:sz="4" w:space="0" w:color="auto"/>
              <w:left w:val="nil"/>
              <w:bottom w:val="single" w:sz="4" w:space="0" w:color="auto"/>
              <w:right w:val="nil"/>
            </w:tcBorders>
            <w:tcMar>
              <w:left w:w="58" w:type="dxa"/>
              <w:right w:w="58" w:type="dxa"/>
            </w:tcMar>
          </w:tcPr>
          <w:p w14:paraId="7A2793F0"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β</w:t>
            </w:r>
          </w:p>
        </w:tc>
        <w:tc>
          <w:tcPr>
            <w:tcW w:w="216" w:type="dxa"/>
            <w:tcBorders>
              <w:top w:val="single" w:sz="4" w:space="0" w:color="auto"/>
              <w:left w:val="nil"/>
              <w:bottom w:val="nil"/>
              <w:right w:val="nil"/>
            </w:tcBorders>
            <w:tcMar>
              <w:left w:w="58" w:type="dxa"/>
              <w:right w:w="58" w:type="dxa"/>
            </w:tcMar>
          </w:tcPr>
          <w:p w14:paraId="5B63504D"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tcMar>
              <w:left w:w="58" w:type="dxa"/>
              <w:right w:w="58" w:type="dxa"/>
            </w:tcMar>
          </w:tcPr>
          <w:p w14:paraId="0C0C8C64"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t-value</w:t>
            </w:r>
          </w:p>
        </w:tc>
        <w:tc>
          <w:tcPr>
            <w:tcW w:w="216" w:type="dxa"/>
            <w:tcBorders>
              <w:top w:val="single" w:sz="4" w:space="0" w:color="auto"/>
              <w:left w:val="nil"/>
              <w:bottom w:val="nil"/>
              <w:right w:val="nil"/>
            </w:tcBorders>
            <w:tcMar>
              <w:left w:w="58" w:type="dxa"/>
              <w:right w:w="58" w:type="dxa"/>
            </w:tcMar>
          </w:tcPr>
          <w:p w14:paraId="587299D0"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single" w:sz="4" w:space="0" w:color="auto"/>
              <w:left w:val="nil"/>
              <w:bottom w:val="single" w:sz="4" w:space="0" w:color="auto"/>
            </w:tcBorders>
            <w:tcMar>
              <w:left w:w="58" w:type="dxa"/>
              <w:right w:w="58" w:type="dxa"/>
            </w:tcMar>
          </w:tcPr>
          <w:p w14:paraId="3F83B753"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i/>
                <w:iCs/>
                <w:sz w:val="24"/>
                <w:szCs w:val="24"/>
              </w:rPr>
              <w:t>p</w:t>
            </w:r>
            <w:r w:rsidRPr="006A11F3">
              <w:rPr>
                <w:rFonts w:ascii="Times New Roman" w:hAnsi="Times New Roman" w:cs="Times New Roman"/>
                <w:sz w:val="24"/>
                <w:szCs w:val="24"/>
              </w:rPr>
              <w:t>-value</w:t>
            </w:r>
          </w:p>
        </w:tc>
      </w:tr>
      <w:tr w:rsidR="007371C5" w:rsidRPr="006A11F3" w14:paraId="689903F8" w14:textId="77777777" w:rsidTr="00356AA0">
        <w:tc>
          <w:tcPr>
            <w:tcW w:w="3380" w:type="dxa"/>
            <w:tcBorders>
              <w:top w:val="nil"/>
              <w:bottom w:val="single" w:sz="4" w:space="0" w:color="auto"/>
              <w:right w:val="nil"/>
            </w:tcBorders>
            <w:tcMar>
              <w:left w:w="58" w:type="dxa"/>
              <w:right w:w="58" w:type="dxa"/>
            </w:tcMar>
          </w:tcPr>
          <w:p w14:paraId="592B7C8A" w14:textId="77777777" w:rsidR="007371C5" w:rsidRPr="006A11F3" w:rsidRDefault="007371C5" w:rsidP="00356AA0">
            <w:pPr>
              <w:snapToGrid w:val="0"/>
              <w:rPr>
                <w:rFonts w:ascii="Times New Roman" w:hAnsi="Times New Roman" w:cs="Times New Roman"/>
                <w:sz w:val="24"/>
                <w:szCs w:val="24"/>
              </w:rPr>
            </w:pPr>
            <w:r w:rsidRPr="006A11F3">
              <w:rPr>
                <w:rFonts w:ascii="Times New Roman" w:hAnsi="Times New Roman" w:cs="Times New Roman"/>
                <w:sz w:val="24"/>
                <w:szCs w:val="24"/>
              </w:rPr>
              <w:t>Cingulum Bundle (</w:t>
            </w:r>
            <w:r>
              <w:rPr>
                <w:rFonts w:ascii="Times New Roman" w:hAnsi="Times New Roman" w:cs="Times New Roman"/>
                <w:sz w:val="24"/>
                <w:szCs w:val="24"/>
              </w:rPr>
              <w:t>GFA</w:t>
            </w:r>
            <w:r w:rsidRPr="006A11F3">
              <w:rPr>
                <w:rFonts w:ascii="Times New Roman" w:hAnsi="Times New Roman" w:cs="Times New Roman"/>
                <w:sz w:val="24"/>
                <w:szCs w:val="24"/>
              </w:rPr>
              <w:t>)</w:t>
            </w:r>
          </w:p>
        </w:tc>
        <w:tc>
          <w:tcPr>
            <w:tcW w:w="216" w:type="dxa"/>
            <w:tcBorders>
              <w:top w:val="nil"/>
              <w:left w:val="nil"/>
              <w:bottom w:val="nil"/>
              <w:right w:val="nil"/>
            </w:tcBorders>
            <w:tcMar>
              <w:left w:w="58" w:type="dxa"/>
              <w:right w:w="58" w:type="dxa"/>
            </w:tcMar>
          </w:tcPr>
          <w:p w14:paraId="7455A5E0"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14C98A39"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2C86C53"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2DF067CC"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ACAC70F"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5043955E"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4BC607FF"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72D9B1B"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BA409A3"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5F12A035"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489A06BC" w14:textId="77777777" w:rsidTr="00356AA0">
        <w:tc>
          <w:tcPr>
            <w:tcW w:w="3380" w:type="dxa"/>
            <w:tcBorders>
              <w:top w:val="single" w:sz="4" w:space="0" w:color="auto"/>
              <w:bottom w:val="nil"/>
              <w:right w:val="nil"/>
            </w:tcBorders>
            <w:tcMar>
              <w:left w:w="58" w:type="dxa"/>
              <w:right w:w="58" w:type="dxa"/>
            </w:tcMar>
          </w:tcPr>
          <w:p w14:paraId="513A1E74"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Overall Model</w:t>
            </w:r>
          </w:p>
        </w:tc>
        <w:tc>
          <w:tcPr>
            <w:tcW w:w="216" w:type="dxa"/>
            <w:tcBorders>
              <w:top w:val="nil"/>
              <w:left w:val="nil"/>
              <w:bottom w:val="nil"/>
              <w:right w:val="nil"/>
            </w:tcBorders>
            <w:tcMar>
              <w:left w:w="58" w:type="dxa"/>
              <w:right w:w="58" w:type="dxa"/>
            </w:tcMar>
          </w:tcPr>
          <w:p w14:paraId="3DAF2E6B"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4949664"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3.724</w:t>
            </w:r>
          </w:p>
        </w:tc>
        <w:tc>
          <w:tcPr>
            <w:tcW w:w="216" w:type="dxa"/>
            <w:tcBorders>
              <w:top w:val="nil"/>
              <w:left w:val="nil"/>
              <w:bottom w:val="nil"/>
              <w:right w:val="nil"/>
            </w:tcBorders>
            <w:tcMar>
              <w:left w:w="58" w:type="dxa"/>
              <w:right w:w="58" w:type="dxa"/>
            </w:tcMar>
          </w:tcPr>
          <w:p w14:paraId="535A33CC"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4681FF29"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0.006*</w:t>
            </w:r>
          </w:p>
        </w:tc>
        <w:tc>
          <w:tcPr>
            <w:tcW w:w="216" w:type="dxa"/>
            <w:tcBorders>
              <w:top w:val="nil"/>
              <w:left w:val="nil"/>
              <w:bottom w:val="nil"/>
              <w:right w:val="nil"/>
            </w:tcBorders>
            <w:tcMar>
              <w:left w:w="58" w:type="dxa"/>
              <w:right w:w="58" w:type="dxa"/>
            </w:tcMar>
          </w:tcPr>
          <w:p w14:paraId="0426B0DF"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5B5C20D8"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864E365"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1748D3B"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F5AEDDE"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5E644AE4"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3C297A56" w14:textId="77777777" w:rsidTr="00356AA0">
        <w:tc>
          <w:tcPr>
            <w:tcW w:w="3380" w:type="dxa"/>
            <w:tcBorders>
              <w:top w:val="nil"/>
              <w:bottom w:val="nil"/>
              <w:right w:val="nil"/>
            </w:tcBorders>
            <w:tcMar>
              <w:left w:w="58" w:type="dxa"/>
              <w:right w:w="58" w:type="dxa"/>
            </w:tcMar>
          </w:tcPr>
          <w:p w14:paraId="58014871"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Neighborhood disadvantage</w:t>
            </w:r>
          </w:p>
        </w:tc>
        <w:tc>
          <w:tcPr>
            <w:tcW w:w="216" w:type="dxa"/>
            <w:tcBorders>
              <w:top w:val="nil"/>
              <w:left w:val="nil"/>
              <w:bottom w:val="nil"/>
              <w:right w:val="nil"/>
            </w:tcBorders>
            <w:tcMar>
              <w:left w:w="58" w:type="dxa"/>
              <w:right w:w="58" w:type="dxa"/>
            </w:tcMar>
          </w:tcPr>
          <w:p w14:paraId="4444F157"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23EB6BBA"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9907F3C"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76DF145"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2FCDC10E"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0373F987"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0.182</w:t>
            </w:r>
          </w:p>
        </w:tc>
        <w:tc>
          <w:tcPr>
            <w:tcW w:w="216" w:type="dxa"/>
            <w:tcBorders>
              <w:top w:val="nil"/>
              <w:left w:val="nil"/>
              <w:bottom w:val="nil"/>
              <w:right w:val="nil"/>
            </w:tcBorders>
            <w:tcMar>
              <w:left w:w="58" w:type="dxa"/>
              <w:right w:w="58" w:type="dxa"/>
            </w:tcMar>
          </w:tcPr>
          <w:p w14:paraId="13384F71"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724C59A5"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3.037</w:t>
            </w:r>
          </w:p>
        </w:tc>
        <w:tc>
          <w:tcPr>
            <w:tcW w:w="216" w:type="dxa"/>
            <w:tcBorders>
              <w:top w:val="nil"/>
              <w:left w:val="nil"/>
              <w:bottom w:val="nil"/>
              <w:right w:val="nil"/>
            </w:tcBorders>
            <w:tcMar>
              <w:left w:w="58" w:type="dxa"/>
              <w:right w:w="58" w:type="dxa"/>
            </w:tcMar>
          </w:tcPr>
          <w:p w14:paraId="76180699"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12C21EEF"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0.003*</w:t>
            </w:r>
          </w:p>
        </w:tc>
      </w:tr>
      <w:tr w:rsidR="007371C5" w:rsidRPr="006A11F3" w14:paraId="1410E9DE" w14:textId="77777777" w:rsidTr="00356AA0">
        <w:tc>
          <w:tcPr>
            <w:tcW w:w="3380" w:type="dxa"/>
            <w:tcBorders>
              <w:top w:val="nil"/>
              <w:bottom w:val="nil"/>
              <w:right w:val="nil"/>
            </w:tcBorders>
            <w:tcMar>
              <w:left w:w="58" w:type="dxa"/>
              <w:right w:w="58" w:type="dxa"/>
            </w:tcMar>
          </w:tcPr>
          <w:p w14:paraId="1E4701F9"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Violence exposure</w:t>
            </w:r>
          </w:p>
        </w:tc>
        <w:tc>
          <w:tcPr>
            <w:tcW w:w="216" w:type="dxa"/>
            <w:tcBorders>
              <w:top w:val="nil"/>
              <w:left w:val="nil"/>
              <w:bottom w:val="nil"/>
              <w:right w:val="nil"/>
            </w:tcBorders>
            <w:tcMar>
              <w:left w:w="58" w:type="dxa"/>
              <w:right w:w="58" w:type="dxa"/>
            </w:tcMar>
          </w:tcPr>
          <w:p w14:paraId="252360EF"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94A827F"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A7D1B87"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4C95D845"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2B969AD2"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4BBE3644"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0.020</w:t>
            </w:r>
          </w:p>
        </w:tc>
        <w:tc>
          <w:tcPr>
            <w:tcW w:w="216" w:type="dxa"/>
            <w:tcBorders>
              <w:top w:val="nil"/>
              <w:left w:val="nil"/>
              <w:bottom w:val="nil"/>
              <w:right w:val="nil"/>
            </w:tcBorders>
            <w:tcMar>
              <w:left w:w="58" w:type="dxa"/>
              <w:right w:w="58" w:type="dxa"/>
            </w:tcMar>
          </w:tcPr>
          <w:p w14:paraId="5B34AF96"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F40E204"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0.330</w:t>
            </w:r>
          </w:p>
        </w:tc>
        <w:tc>
          <w:tcPr>
            <w:tcW w:w="216" w:type="dxa"/>
            <w:tcBorders>
              <w:top w:val="nil"/>
              <w:left w:val="nil"/>
              <w:bottom w:val="nil"/>
              <w:right w:val="nil"/>
            </w:tcBorders>
            <w:tcMar>
              <w:left w:w="58" w:type="dxa"/>
              <w:right w:w="58" w:type="dxa"/>
            </w:tcMar>
          </w:tcPr>
          <w:p w14:paraId="472B62BC"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6677915F"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0.741</w:t>
            </w:r>
          </w:p>
        </w:tc>
      </w:tr>
      <w:tr w:rsidR="007371C5" w:rsidRPr="006A11F3" w14:paraId="1E685880" w14:textId="77777777" w:rsidTr="00356AA0">
        <w:tc>
          <w:tcPr>
            <w:tcW w:w="3380" w:type="dxa"/>
            <w:tcBorders>
              <w:top w:val="nil"/>
              <w:bottom w:val="nil"/>
              <w:right w:val="nil"/>
            </w:tcBorders>
            <w:tcMar>
              <w:left w:w="58" w:type="dxa"/>
              <w:right w:w="58" w:type="dxa"/>
            </w:tcMar>
          </w:tcPr>
          <w:p w14:paraId="67E8A2E4" w14:textId="77777777" w:rsidR="007371C5" w:rsidRPr="006A11F3" w:rsidRDefault="007371C5" w:rsidP="00356AA0">
            <w:pPr>
              <w:snapToGrid w:val="0"/>
              <w:jc w:val="right"/>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2BDFC56"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2D866495"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7CD6CD7"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3ED53D3C"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59B0B6E"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78122C43"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C38F41C"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FF9B40E"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097D6DDB"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2BEC2C33"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59F5B3A8" w14:textId="77777777" w:rsidTr="00356AA0">
        <w:tc>
          <w:tcPr>
            <w:tcW w:w="3380" w:type="dxa"/>
            <w:tcBorders>
              <w:top w:val="nil"/>
              <w:bottom w:val="single" w:sz="4" w:space="0" w:color="auto"/>
              <w:right w:val="nil"/>
            </w:tcBorders>
            <w:tcMar>
              <w:left w:w="58" w:type="dxa"/>
              <w:right w:w="58" w:type="dxa"/>
            </w:tcMar>
          </w:tcPr>
          <w:p w14:paraId="2417F447" w14:textId="77777777" w:rsidR="007371C5" w:rsidRPr="006A11F3" w:rsidRDefault="007371C5" w:rsidP="00356AA0">
            <w:pPr>
              <w:snapToGrid w:val="0"/>
              <w:rPr>
                <w:rFonts w:ascii="Times New Roman" w:hAnsi="Times New Roman" w:cs="Times New Roman"/>
                <w:sz w:val="24"/>
                <w:szCs w:val="24"/>
              </w:rPr>
            </w:pPr>
            <w:r w:rsidRPr="006A11F3">
              <w:rPr>
                <w:rFonts w:ascii="Times New Roman" w:hAnsi="Times New Roman" w:cs="Times New Roman"/>
                <w:sz w:val="24"/>
                <w:szCs w:val="24"/>
              </w:rPr>
              <w:t>Uncinate Fasciculus (</w:t>
            </w:r>
            <w:r>
              <w:rPr>
                <w:rFonts w:ascii="Times New Roman" w:hAnsi="Times New Roman" w:cs="Times New Roman"/>
                <w:sz w:val="24"/>
                <w:szCs w:val="24"/>
              </w:rPr>
              <w:t>GFA</w:t>
            </w:r>
            <w:r w:rsidRPr="006A11F3">
              <w:rPr>
                <w:rFonts w:ascii="Times New Roman" w:hAnsi="Times New Roman" w:cs="Times New Roman"/>
                <w:sz w:val="24"/>
                <w:szCs w:val="24"/>
              </w:rPr>
              <w:t>)</w:t>
            </w:r>
          </w:p>
        </w:tc>
        <w:tc>
          <w:tcPr>
            <w:tcW w:w="216" w:type="dxa"/>
            <w:tcBorders>
              <w:top w:val="nil"/>
              <w:left w:val="nil"/>
              <w:bottom w:val="nil"/>
              <w:right w:val="nil"/>
            </w:tcBorders>
            <w:tcMar>
              <w:left w:w="58" w:type="dxa"/>
              <w:right w:w="58" w:type="dxa"/>
            </w:tcMar>
          </w:tcPr>
          <w:p w14:paraId="46031019"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7E8D73C8"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39FC4A8"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73482464"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31A8F57C"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39DE51EA"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20F95CDF"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196C88D7"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3CA71ED"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3881786D"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68AB7485" w14:textId="77777777" w:rsidTr="00356AA0">
        <w:tc>
          <w:tcPr>
            <w:tcW w:w="3380" w:type="dxa"/>
            <w:tcBorders>
              <w:top w:val="single" w:sz="4" w:space="0" w:color="auto"/>
              <w:bottom w:val="nil"/>
              <w:right w:val="nil"/>
            </w:tcBorders>
            <w:tcMar>
              <w:left w:w="58" w:type="dxa"/>
              <w:right w:w="58" w:type="dxa"/>
            </w:tcMar>
          </w:tcPr>
          <w:p w14:paraId="41FA0780"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Overall Model</w:t>
            </w:r>
          </w:p>
        </w:tc>
        <w:tc>
          <w:tcPr>
            <w:tcW w:w="216" w:type="dxa"/>
            <w:tcBorders>
              <w:top w:val="nil"/>
              <w:left w:val="nil"/>
              <w:bottom w:val="nil"/>
              <w:right w:val="nil"/>
            </w:tcBorders>
            <w:tcMar>
              <w:left w:w="58" w:type="dxa"/>
              <w:right w:w="58" w:type="dxa"/>
            </w:tcMar>
          </w:tcPr>
          <w:p w14:paraId="2FFEA0AD"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666EB42"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21.041</w:t>
            </w:r>
          </w:p>
        </w:tc>
        <w:tc>
          <w:tcPr>
            <w:tcW w:w="216" w:type="dxa"/>
            <w:tcBorders>
              <w:top w:val="nil"/>
              <w:left w:val="nil"/>
              <w:bottom w:val="nil"/>
              <w:right w:val="nil"/>
            </w:tcBorders>
            <w:tcMar>
              <w:left w:w="58" w:type="dxa"/>
              <w:right w:w="58" w:type="dxa"/>
            </w:tcMar>
          </w:tcPr>
          <w:p w14:paraId="455C17B8"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7906D863"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&lt; 0.001*</w:t>
            </w:r>
          </w:p>
        </w:tc>
        <w:tc>
          <w:tcPr>
            <w:tcW w:w="216" w:type="dxa"/>
            <w:tcBorders>
              <w:top w:val="nil"/>
              <w:left w:val="nil"/>
              <w:bottom w:val="nil"/>
              <w:right w:val="nil"/>
            </w:tcBorders>
            <w:tcMar>
              <w:left w:w="58" w:type="dxa"/>
              <w:right w:w="58" w:type="dxa"/>
            </w:tcMar>
          </w:tcPr>
          <w:p w14:paraId="16A85969"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537AC5F8"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2809971C"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12F6C2C0"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F99EE5C"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6F59F225"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20289749" w14:textId="77777777" w:rsidTr="00356AA0">
        <w:tc>
          <w:tcPr>
            <w:tcW w:w="3380" w:type="dxa"/>
            <w:tcBorders>
              <w:top w:val="nil"/>
              <w:bottom w:val="nil"/>
              <w:right w:val="nil"/>
            </w:tcBorders>
            <w:tcMar>
              <w:left w:w="58" w:type="dxa"/>
              <w:right w:w="58" w:type="dxa"/>
            </w:tcMar>
          </w:tcPr>
          <w:p w14:paraId="14A1EE8E"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Neighborhood disadvantage</w:t>
            </w:r>
          </w:p>
        </w:tc>
        <w:tc>
          <w:tcPr>
            <w:tcW w:w="216" w:type="dxa"/>
            <w:tcBorders>
              <w:top w:val="nil"/>
              <w:left w:val="nil"/>
              <w:bottom w:val="nil"/>
              <w:right w:val="nil"/>
            </w:tcBorders>
            <w:tcMar>
              <w:left w:w="58" w:type="dxa"/>
              <w:right w:w="58" w:type="dxa"/>
            </w:tcMar>
          </w:tcPr>
          <w:p w14:paraId="23498811"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6F5BCC8"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2C581EDF"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4BA51F29"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8A9530B"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32E39D18"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-0.</w:t>
            </w:r>
            <w:r>
              <w:rPr>
                <w:rFonts w:ascii="Times New Roman" w:hAnsi="Times New Roman" w:cs="Times New Roman"/>
                <w:sz w:val="24"/>
                <w:szCs w:val="24"/>
              </w:rPr>
              <w:t>042</w:t>
            </w:r>
          </w:p>
        </w:tc>
        <w:tc>
          <w:tcPr>
            <w:tcW w:w="216" w:type="dxa"/>
            <w:tcBorders>
              <w:top w:val="nil"/>
              <w:left w:val="nil"/>
              <w:bottom w:val="nil"/>
              <w:right w:val="nil"/>
            </w:tcBorders>
            <w:tcMar>
              <w:left w:w="58" w:type="dxa"/>
              <w:right w:w="58" w:type="dxa"/>
            </w:tcMar>
          </w:tcPr>
          <w:p w14:paraId="610E823A"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4A6C31D"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-0.759</w:t>
            </w:r>
          </w:p>
        </w:tc>
        <w:tc>
          <w:tcPr>
            <w:tcW w:w="216" w:type="dxa"/>
            <w:tcBorders>
              <w:top w:val="nil"/>
              <w:left w:val="nil"/>
              <w:bottom w:val="nil"/>
              <w:right w:val="nil"/>
            </w:tcBorders>
            <w:tcMar>
              <w:left w:w="58" w:type="dxa"/>
              <w:right w:w="58" w:type="dxa"/>
            </w:tcMar>
          </w:tcPr>
          <w:p w14:paraId="0C97F36C"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3C623F71"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0.449</w:t>
            </w:r>
          </w:p>
        </w:tc>
      </w:tr>
      <w:tr w:rsidR="007371C5" w:rsidRPr="006A11F3" w14:paraId="4782220F" w14:textId="77777777" w:rsidTr="00356AA0">
        <w:tc>
          <w:tcPr>
            <w:tcW w:w="3380" w:type="dxa"/>
            <w:tcBorders>
              <w:top w:val="nil"/>
              <w:bottom w:val="nil"/>
              <w:right w:val="nil"/>
            </w:tcBorders>
            <w:tcMar>
              <w:left w:w="58" w:type="dxa"/>
              <w:right w:w="58" w:type="dxa"/>
            </w:tcMar>
          </w:tcPr>
          <w:p w14:paraId="50409F10"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Violence exposure</w:t>
            </w:r>
          </w:p>
        </w:tc>
        <w:tc>
          <w:tcPr>
            <w:tcW w:w="216" w:type="dxa"/>
            <w:tcBorders>
              <w:top w:val="nil"/>
              <w:left w:val="nil"/>
              <w:bottom w:val="nil"/>
              <w:right w:val="nil"/>
            </w:tcBorders>
            <w:tcMar>
              <w:left w:w="58" w:type="dxa"/>
              <w:right w:w="58" w:type="dxa"/>
            </w:tcMar>
          </w:tcPr>
          <w:p w14:paraId="5A2316F5"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F348F4C"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E6A055D"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745CA7CF"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219EA71D"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5E7DC133"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-0</w:t>
            </w:r>
            <w:r>
              <w:rPr>
                <w:rFonts w:ascii="Times New Roman" w:hAnsi="Times New Roman" w:cs="Times New Roman"/>
                <w:sz w:val="24"/>
                <w:szCs w:val="24"/>
              </w:rPr>
              <w:t>.038</w:t>
            </w:r>
          </w:p>
        </w:tc>
        <w:tc>
          <w:tcPr>
            <w:tcW w:w="216" w:type="dxa"/>
            <w:tcBorders>
              <w:top w:val="nil"/>
              <w:left w:val="nil"/>
              <w:bottom w:val="nil"/>
              <w:right w:val="nil"/>
            </w:tcBorders>
            <w:tcMar>
              <w:left w:w="58" w:type="dxa"/>
              <w:right w:w="58" w:type="dxa"/>
            </w:tcMar>
          </w:tcPr>
          <w:p w14:paraId="1969AE2D"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64BB65D"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-0.668</w:t>
            </w:r>
          </w:p>
        </w:tc>
        <w:tc>
          <w:tcPr>
            <w:tcW w:w="216" w:type="dxa"/>
            <w:tcBorders>
              <w:top w:val="nil"/>
              <w:left w:val="nil"/>
              <w:bottom w:val="nil"/>
              <w:right w:val="nil"/>
            </w:tcBorders>
            <w:tcMar>
              <w:left w:w="58" w:type="dxa"/>
              <w:right w:w="58" w:type="dxa"/>
            </w:tcMar>
          </w:tcPr>
          <w:p w14:paraId="219FC23D"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08EB5756"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0.504</w:t>
            </w:r>
          </w:p>
        </w:tc>
      </w:tr>
      <w:tr w:rsidR="007371C5" w:rsidRPr="006A11F3" w14:paraId="64584EC9" w14:textId="77777777" w:rsidTr="00356AA0">
        <w:tc>
          <w:tcPr>
            <w:tcW w:w="3380" w:type="dxa"/>
            <w:tcBorders>
              <w:top w:val="nil"/>
              <w:bottom w:val="nil"/>
              <w:right w:val="nil"/>
            </w:tcBorders>
            <w:tcMar>
              <w:left w:w="58" w:type="dxa"/>
              <w:right w:w="58" w:type="dxa"/>
            </w:tcMar>
          </w:tcPr>
          <w:p w14:paraId="66616C8B" w14:textId="77777777" w:rsidR="007371C5" w:rsidRPr="006A11F3" w:rsidRDefault="007371C5" w:rsidP="00356AA0">
            <w:pPr>
              <w:snapToGrid w:val="0"/>
              <w:jc w:val="right"/>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428DFB32"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BEA79D0"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4D5019CC"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14FA7CE8"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89682EE"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7129DC91"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DFFAD65"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4ABEC50"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52956CD6"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497D3B49"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6DCA3744" w14:textId="77777777" w:rsidTr="00356AA0">
        <w:tc>
          <w:tcPr>
            <w:tcW w:w="3380" w:type="dxa"/>
            <w:tcBorders>
              <w:top w:val="nil"/>
              <w:bottom w:val="single" w:sz="4" w:space="0" w:color="auto"/>
              <w:right w:val="nil"/>
            </w:tcBorders>
            <w:tcMar>
              <w:left w:w="58" w:type="dxa"/>
              <w:right w:w="58" w:type="dxa"/>
            </w:tcMar>
          </w:tcPr>
          <w:p w14:paraId="2AD36B1C" w14:textId="77777777" w:rsidR="007371C5" w:rsidRPr="006A11F3" w:rsidRDefault="007371C5" w:rsidP="00356AA0">
            <w:pPr>
              <w:snapToGrid w:val="0"/>
              <w:rPr>
                <w:rFonts w:ascii="Times New Roman" w:hAnsi="Times New Roman" w:cs="Times New Roman"/>
                <w:sz w:val="24"/>
                <w:szCs w:val="24"/>
              </w:rPr>
            </w:pPr>
            <w:r w:rsidRPr="006A11F3">
              <w:rPr>
                <w:rFonts w:ascii="Times New Roman" w:hAnsi="Times New Roman" w:cs="Times New Roman"/>
                <w:sz w:val="24"/>
                <w:szCs w:val="24"/>
              </w:rPr>
              <w:t>Stria Terminalis/Fornix (</w:t>
            </w:r>
            <w:r>
              <w:rPr>
                <w:rFonts w:ascii="Times New Roman" w:hAnsi="Times New Roman" w:cs="Times New Roman"/>
                <w:sz w:val="24"/>
                <w:szCs w:val="24"/>
              </w:rPr>
              <w:t>GFA</w:t>
            </w:r>
            <w:r w:rsidRPr="006A11F3">
              <w:rPr>
                <w:rFonts w:ascii="Times New Roman" w:hAnsi="Times New Roman" w:cs="Times New Roman"/>
                <w:sz w:val="24"/>
                <w:szCs w:val="24"/>
              </w:rPr>
              <w:t>)</w:t>
            </w:r>
          </w:p>
        </w:tc>
        <w:tc>
          <w:tcPr>
            <w:tcW w:w="216" w:type="dxa"/>
            <w:tcBorders>
              <w:top w:val="nil"/>
              <w:left w:val="nil"/>
              <w:bottom w:val="nil"/>
              <w:right w:val="nil"/>
            </w:tcBorders>
            <w:tcMar>
              <w:left w:w="58" w:type="dxa"/>
              <w:right w:w="58" w:type="dxa"/>
            </w:tcMar>
          </w:tcPr>
          <w:p w14:paraId="0BC0CED7"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7ECBD462"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C9FC256"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47EF5E7E"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4508EE5A"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02ACBFBA"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3843EB8F"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20B08E24"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3049C69B"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195505BF"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07F3FF8A" w14:textId="77777777" w:rsidTr="00356AA0">
        <w:tc>
          <w:tcPr>
            <w:tcW w:w="3380" w:type="dxa"/>
            <w:tcBorders>
              <w:top w:val="single" w:sz="4" w:space="0" w:color="auto"/>
              <w:bottom w:val="nil"/>
              <w:right w:val="nil"/>
            </w:tcBorders>
            <w:tcMar>
              <w:left w:w="58" w:type="dxa"/>
              <w:right w:w="58" w:type="dxa"/>
            </w:tcMar>
          </w:tcPr>
          <w:p w14:paraId="01B72577"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Overall Model</w:t>
            </w:r>
          </w:p>
        </w:tc>
        <w:tc>
          <w:tcPr>
            <w:tcW w:w="216" w:type="dxa"/>
            <w:tcBorders>
              <w:top w:val="nil"/>
              <w:left w:val="nil"/>
              <w:bottom w:val="nil"/>
              <w:right w:val="nil"/>
            </w:tcBorders>
            <w:tcMar>
              <w:left w:w="58" w:type="dxa"/>
              <w:right w:w="58" w:type="dxa"/>
            </w:tcMar>
          </w:tcPr>
          <w:p w14:paraId="6A250026"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28839B4F"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39.960</w:t>
            </w:r>
          </w:p>
        </w:tc>
        <w:tc>
          <w:tcPr>
            <w:tcW w:w="216" w:type="dxa"/>
            <w:tcBorders>
              <w:top w:val="nil"/>
              <w:left w:val="nil"/>
              <w:bottom w:val="nil"/>
              <w:right w:val="nil"/>
            </w:tcBorders>
            <w:tcMar>
              <w:left w:w="58" w:type="dxa"/>
              <w:right w:w="58" w:type="dxa"/>
            </w:tcMar>
          </w:tcPr>
          <w:p w14:paraId="5BE9E696"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373FEDDF"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&lt; 0.001*</w:t>
            </w:r>
          </w:p>
        </w:tc>
        <w:tc>
          <w:tcPr>
            <w:tcW w:w="216" w:type="dxa"/>
            <w:tcBorders>
              <w:top w:val="nil"/>
              <w:left w:val="nil"/>
              <w:bottom w:val="nil"/>
              <w:right w:val="nil"/>
            </w:tcBorders>
            <w:tcMar>
              <w:left w:w="58" w:type="dxa"/>
              <w:right w:w="58" w:type="dxa"/>
            </w:tcMar>
          </w:tcPr>
          <w:p w14:paraId="2A9554A3"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3DDCB5C6"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57364E7C"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96DD7EB"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66012949"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5599CA55"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6232474B" w14:textId="77777777" w:rsidTr="00356AA0">
        <w:tc>
          <w:tcPr>
            <w:tcW w:w="3380" w:type="dxa"/>
            <w:tcBorders>
              <w:top w:val="nil"/>
              <w:bottom w:val="nil"/>
              <w:right w:val="nil"/>
            </w:tcBorders>
            <w:tcMar>
              <w:left w:w="58" w:type="dxa"/>
              <w:right w:w="58" w:type="dxa"/>
            </w:tcMar>
          </w:tcPr>
          <w:p w14:paraId="369F10BF"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Neighborhood disadvantage</w:t>
            </w:r>
          </w:p>
        </w:tc>
        <w:tc>
          <w:tcPr>
            <w:tcW w:w="216" w:type="dxa"/>
            <w:tcBorders>
              <w:top w:val="nil"/>
              <w:left w:val="nil"/>
              <w:bottom w:val="nil"/>
              <w:right w:val="nil"/>
            </w:tcBorders>
            <w:tcMar>
              <w:left w:w="58" w:type="dxa"/>
              <w:right w:w="58" w:type="dxa"/>
            </w:tcMar>
          </w:tcPr>
          <w:p w14:paraId="0F525165"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640959A5"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55C0F37F"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664A1FD5"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44B42045"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4D46D480"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0.081</w:t>
            </w:r>
          </w:p>
        </w:tc>
        <w:tc>
          <w:tcPr>
            <w:tcW w:w="216" w:type="dxa"/>
            <w:tcBorders>
              <w:top w:val="nil"/>
              <w:left w:val="nil"/>
              <w:bottom w:val="nil"/>
              <w:right w:val="nil"/>
            </w:tcBorders>
            <w:tcMar>
              <w:left w:w="58" w:type="dxa"/>
              <w:right w:w="58" w:type="dxa"/>
            </w:tcMar>
          </w:tcPr>
          <w:p w14:paraId="31531FBF"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5CF5B5C8"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1.524</w:t>
            </w:r>
          </w:p>
        </w:tc>
        <w:tc>
          <w:tcPr>
            <w:tcW w:w="216" w:type="dxa"/>
            <w:tcBorders>
              <w:top w:val="nil"/>
              <w:left w:val="nil"/>
              <w:bottom w:val="nil"/>
              <w:right w:val="nil"/>
            </w:tcBorders>
            <w:tcMar>
              <w:left w:w="58" w:type="dxa"/>
              <w:right w:w="58" w:type="dxa"/>
            </w:tcMar>
          </w:tcPr>
          <w:p w14:paraId="594B99DD"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445A95D1"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0.129</w:t>
            </w:r>
          </w:p>
        </w:tc>
      </w:tr>
      <w:tr w:rsidR="007371C5" w:rsidRPr="006A11F3" w14:paraId="7A4D0CA0" w14:textId="77777777" w:rsidTr="00356AA0">
        <w:tc>
          <w:tcPr>
            <w:tcW w:w="3380" w:type="dxa"/>
            <w:tcBorders>
              <w:top w:val="nil"/>
              <w:bottom w:val="nil"/>
              <w:right w:val="nil"/>
            </w:tcBorders>
            <w:tcMar>
              <w:left w:w="58" w:type="dxa"/>
              <w:right w:w="58" w:type="dxa"/>
            </w:tcMar>
          </w:tcPr>
          <w:p w14:paraId="3DE5F651" w14:textId="77777777" w:rsidR="007371C5" w:rsidRPr="006A11F3" w:rsidRDefault="007371C5" w:rsidP="00356AA0">
            <w:pPr>
              <w:snapToGrid w:val="0"/>
              <w:jc w:val="right"/>
              <w:rPr>
                <w:rFonts w:ascii="Times New Roman" w:hAnsi="Times New Roman" w:cs="Times New Roman"/>
                <w:sz w:val="24"/>
                <w:szCs w:val="24"/>
              </w:rPr>
            </w:pPr>
            <w:r w:rsidRPr="006A11F3">
              <w:rPr>
                <w:rFonts w:ascii="Times New Roman" w:hAnsi="Times New Roman" w:cs="Times New Roman"/>
                <w:sz w:val="24"/>
                <w:szCs w:val="24"/>
              </w:rPr>
              <w:t>Violence exposure</w:t>
            </w:r>
          </w:p>
        </w:tc>
        <w:tc>
          <w:tcPr>
            <w:tcW w:w="216" w:type="dxa"/>
            <w:tcBorders>
              <w:top w:val="nil"/>
              <w:left w:val="nil"/>
              <w:bottom w:val="nil"/>
              <w:right w:val="nil"/>
            </w:tcBorders>
            <w:tcMar>
              <w:left w:w="58" w:type="dxa"/>
              <w:right w:w="58" w:type="dxa"/>
            </w:tcMar>
          </w:tcPr>
          <w:p w14:paraId="3A2754BF"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11EAFCA1"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EEA6CC6"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25BE24B"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A04FC30"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4C4B85F8" w14:textId="77777777" w:rsidR="007371C5" w:rsidRPr="006A11F3" w:rsidRDefault="007371C5" w:rsidP="00356AA0">
            <w:pPr>
              <w:snapToGrid w:val="0"/>
              <w:jc w:val="center"/>
              <w:rPr>
                <w:rFonts w:ascii="Times New Roman" w:hAnsi="Times New Roman" w:cs="Times New Roman"/>
                <w:sz w:val="24"/>
                <w:szCs w:val="24"/>
              </w:rPr>
            </w:pPr>
            <w:r w:rsidRPr="006A11F3">
              <w:rPr>
                <w:rFonts w:ascii="Times New Roman" w:hAnsi="Times New Roman" w:cs="Times New Roman"/>
                <w:sz w:val="24"/>
                <w:szCs w:val="24"/>
              </w:rPr>
              <w:t>-0.</w:t>
            </w:r>
            <w:r>
              <w:rPr>
                <w:rFonts w:ascii="Times New Roman" w:hAnsi="Times New Roman" w:cs="Times New Roman"/>
                <w:sz w:val="24"/>
                <w:szCs w:val="24"/>
              </w:rPr>
              <w:t>014</w:t>
            </w:r>
          </w:p>
        </w:tc>
        <w:tc>
          <w:tcPr>
            <w:tcW w:w="216" w:type="dxa"/>
            <w:tcBorders>
              <w:top w:val="nil"/>
              <w:left w:val="nil"/>
              <w:bottom w:val="nil"/>
              <w:right w:val="nil"/>
            </w:tcBorders>
            <w:tcMar>
              <w:left w:w="58" w:type="dxa"/>
              <w:right w:w="58" w:type="dxa"/>
            </w:tcMar>
          </w:tcPr>
          <w:p w14:paraId="085F6559"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4EBFAA2C"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-0.251</w:t>
            </w:r>
          </w:p>
        </w:tc>
        <w:tc>
          <w:tcPr>
            <w:tcW w:w="216" w:type="dxa"/>
            <w:tcBorders>
              <w:top w:val="nil"/>
              <w:left w:val="nil"/>
              <w:bottom w:val="nil"/>
              <w:right w:val="nil"/>
            </w:tcBorders>
            <w:tcMar>
              <w:left w:w="58" w:type="dxa"/>
              <w:right w:w="58" w:type="dxa"/>
            </w:tcMar>
          </w:tcPr>
          <w:p w14:paraId="29F04595"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01AA38AE" w14:textId="77777777" w:rsidR="007371C5" w:rsidRPr="006A11F3" w:rsidRDefault="007371C5" w:rsidP="00356AA0">
            <w:pPr>
              <w:snapToGrid w:val="0"/>
              <w:jc w:val="center"/>
              <w:rPr>
                <w:rFonts w:ascii="Times New Roman" w:hAnsi="Times New Roman" w:cs="Times New Roman"/>
                <w:sz w:val="24"/>
                <w:szCs w:val="24"/>
              </w:rPr>
            </w:pPr>
            <w:r>
              <w:rPr>
                <w:rFonts w:ascii="Times New Roman" w:hAnsi="Times New Roman" w:cs="Times New Roman"/>
                <w:sz w:val="24"/>
                <w:szCs w:val="24"/>
              </w:rPr>
              <w:t>0.802</w:t>
            </w:r>
          </w:p>
        </w:tc>
      </w:tr>
      <w:tr w:rsidR="007371C5" w:rsidRPr="006A11F3" w14:paraId="5A0D7B7C" w14:textId="77777777" w:rsidTr="00356AA0">
        <w:tc>
          <w:tcPr>
            <w:tcW w:w="3380" w:type="dxa"/>
            <w:tcBorders>
              <w:top w:val="nil"/>
              <w:bottom w:val="nil"/>
              <w:right w:val="nil"/>
            </w:tcBorders>
            <w:tcMar>
              <w:left w:w="58" w:type="dxa"/>
              <w:right w:w="58" w:type="dxa"/>
            </w:tcMar>
          </w:tcPr>
          <w:p w14:paraId="78EA56C6" w14:textId="77777777" w:rsidR="007371C5" w:rsidRPr="006A11F3" w:rsidRDefault="007371C5" w:rsidP="00356AA0">
            <w:pPr>
              <w:snapToGrid w:val="0"/>
              <w:jc w:val="right"/>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510FF106" w14:textId="77777777" w:rsidR="007371C5" w:rsidRPr="006A11F3" w:rsidRDefault="007371C5" w:rsidP="00356AA0">
            <w:pPr>
              <w:snapToGrid w:val="0"/>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6B9E6033"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35DD6962"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0A209AF6"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1FE5985A" w14:textId="77777777" w:rsidR="007371C5" w:rsidRPr="006A11F3" w:rsidRDefault="007371C5" w:rsidP="00356AA0">
            <w:pPr>
              <w:snapToGrid w:val="0"/>
              <w:jc w:val="center"/>
              <w:rPr>
                <w:rFonts w:ascii="Times New Roman" w:hAnsi="Times New Roman" w:cs="Times New Roman"/>
                <w:sz w:val="24"/>
                <w:szCs w:val="24"/>
              </w:rPr>
            </w:pPr>
          </w:p>
        </w:tc>
        <w:tc>
          <w:tcPr>
            <w:tcW w:w="864" w:type="dxa"/>
            <w:tcBorders>
              <w:top w:val="nil"/>
              <w:left w:val="nil"/>
              <w:bottom w:val="nil"/>
              <w:right w:val="nil"/>
            </w:tcBorders>
            <w:tcMar>
              <w:left w:w="58" w:type="dxa"/>
              <w:right w:w="58" w:type="dxa"/>
            </w:tcMar>
          </w:tcPr>
          <w:p w14:paraId="46126506"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4ABA7716" w14:textId="77777777" w:rsidR="007371C5" w:rsidRPr="006A11F3" w:rsidRDefault="007371C5" w:rsidP="00356AA0">
            <w:pPr>
              <w:snapToGrid w:val="0"/>
              <w:jc w:val="center"/>
              <w:rPr>
                <w:rFonts w:ascii="Times New Roman" w:hAnsi="Times New Roman" w:cs="Times New Roman"/>
                <w:sz w:val="24"/>
                <w:szCs w:val="24"/>
              </w:rPr>
            </w:pPr>
          </w:p>
        </w:tc>
        <w:tc>
          <w:tcPr>
            <w:tcW w:w="1080" w:type="dxa"/>
            <w:tcBorders>
              <w:top w:val="nil"/>
              <w:left w:val="nil"/>
              <w:bottom w:val="nil"/>
              <w:right w:val="nil"/>
            </w:tcBorders>
            <w:tcMar>
              <w:left w:w="58" w:type="dxa"/>
              <w:right w:w="58" w:type="dxa"/>
            </w:tcMar>
          </w:tcPr>
          <w:p w14:paraId="6E777403" w14:textId="77777777" w:rsidR="007371C5" w:rsidRPr="006A11F3" w:rsidRDefault="007371C5" w:rsidP="00356AA0">
            <w:pPr>
              <w:snapToGrid w:val="0"/>
              <w:jc w:val="center"/>
              <w:rPr>
                <w:rFonts w:ascii="Times New Roman" w:hAnsi="Times New Roman" w:cs="Times New Roman"/>
                <w:sz w:val="24"/>
                <w:szCs w:val="24"/>
              </w:rPr>
            </w:pPr>
          </w:p>
        </w:tc>
        <w:tc>
          <w:tcPr>
            <w:tcW w:w="216" w:type="dxa"/>
            <w:tcBorders>
              <w:top w:val="nil"/>
              <w:left w:val="nil"/>
              <w:bottom w:val="nil"/>
              <w:right w:val="nil"/>
            </w:tcBorders>
            <w:tcMar>
              <w:left w:w="58" w:type="dxa"/>
              <w:right w:w="58" w:type="dxa"/>
            </w:tcMar>
          </w:tcPr>
          <w:p w14:paraId="77AA7BF1" w14:textId="77777777" w:rsidR="007371C5" w:rsidRPr="006A11F3" w:rsidRDefault="007371C5" w:rsidP="00356AA0">
            <w:pPr>
              <w:snapToGrid w:val="0"/>
              <w:jc w:val="center"/>
              <w:rPr>
                <w:rFonts w:ascii="Times New Roman" w:hAnsi="Times New Roman" w:cs="Times New Roman"/>
                <w:sz w:val="24"/>
                <w:szCs w:val="24"/>
              </w:rPr>
            </w:pPr>
          </w:p>
        </w:tc>
        <w:tc>
          <w:tcPr>
            <w:tcW w:w="1080" w:type="dxa"/>
            <w:gridSpan w:val="2"/>
            <w:tcBorders>
              <w:top w:val="nil"/>
              <w:left w:val="nil"/>
              <w:bottom w:val="nil"/>
            </w:tcBorders>
            <w:tcMar>
              <w:left w:w="58" w:type="dxa"/>
              <w:right w:w="58" w:type="dxa"/>
            </w:tcMar>
          </w:tcPr>
          <w:p w14:paraId="6261B945" w14:textId="77777777" w:rsidR="007371C5" w:rsidRPr="006A11F3" w:rsidRDefault="007371C5" w:rsidP="00356AA0">
            <w:pPr>
              <w:snapToGrid w:val="0"/>
              <w:jc w:val="center"/>
              <w:rPr>
                <w:rFonts w:ascii="Times New Roman" w:hAnsi="Times New Roman" w:cs="Times New Roman"/>
                <w:sz w:val="24"/>
                <w:szCs w:val="24"/>
              </w:rPr>
            </w:pPr>
          </w:p>
        </w:tc>
      </w:tr>
      <w:tr w:rsidR="007371C5" w:rsidRPr="006A11F3" w14:paraId="0DE4F88B" w14:textId="77777777" w:rsidTr="00356AA0">
        <w:trPr>
          <w:gridAfter w:val="1"/>
          <w:wAfter w:w="14" w:type="dxa"/>
        </w:trPr>
        <w:tc>
          <w:tcPr>
            <w:tcW w:w="9630" w:type="dxa"/>
            <w:gridSpan w:val="11"/>
            <w:tcBorders>
              <w:top w:val="single" w:sz="4" w:space="0" w:color="auto"/>
            </w:tcBorders>
            <w:tcMar>
              <w:left w:w="58" w:type="dxa"/>
              <w:right w:w="58" w:type="dxa"/>
            </w:tcMar>
          </w:tcPr>
          <w:p w14:paraId="524721B5" w14:textId="77777777" w:rsidR="007371C5" w:rsidRPr="006A11F3" w:rsidRDefault="007371C5" w:rsidP="00356AA0">
            <w:pPr>
              <w:snapToGrid w:val="0"/>
              <w:rPr>
                <w:rFonts w:ascii="Times New Roman" w:hAnsi="Times New Roman" w:cs="Times New Roman"/>
                <w:strike/>
                <w:sz w:val="24"/>
                <w:szCs w:val="24"/>
              </w:rPr>
            </w:pPr>
            <w:r w:rsidRPr="006A11F3">
              <w:rPr>
                <w:rFonts w:ascii="Times New Roman" w:hAnsi="Times New Roman" w:cs="Times New Roman"/>
                <w:i/>
                <w:sz w:val="24"/>
                <w:szCs w:val="24"/>
              </w:rPr>
              <w:t>Note</w:t>
            </w:r>
            <w:r w:rsidRPr="006A11F3">
              <w:rPr>
                <w:rFonts w:ascii="Times New Roman" w:hAnsi="Times New Roman" w:cs="Times New Roman"/>
                <w:sz w:val="24"/>
                <w:szCs w:val="24"/>
              </w:rPr>
              <w:t xml:space="preserve">: </w:t>
            </w:r>
            <w:r>
              <w:rPr>
                <w:rFonts w:ascii="Times New Roman" w:hAnsi="Times New Roman" w:cs="Times New Roman"/>
                <w:bCs/>
                <w:sz w:val="24"/>
                <w:szCs w:val="24"/>
              </w:rPr>
              <w:t>L</w:t>
            </w:r>
            <w:r w:rsidRPr="006A11F3">
              <w:rPr>
                <w:rFonts w:ascii="Times New Roman" w:hAnsi="Times New Roman" w:cs="Times New Roman"/>
                <w:sz w:val="24"/>
                <w:szCs w:val="24"/>
              </w:rPr>
              <w:t xml:space="preserve">inear regressions predicting </w:t>
            </w:r>
            <w:r>
              <w:rPr>
                <w:rFonts w:ascii="Times New Roman" w:hAnsi="Times New Roman" w:cs="Times New Roman"/>
                <w:sz w:val="24"/>
                <w:szCs w:val="24"/>
              </w:rPr>
              <w:t>generalized fractional</w:t>
            </w:r>
            <w:r w:rsidRPr="006A11F3">
              <w:rPr>
                <w:rFonts w:ascii="Times New Roman" w:hAnsi="Times New Roman" w:cs="Times New Roman"/>
                <w:sz w:val="24"/>
                <w:szCs w:val="24"/>
              </w:rPr>
              <w:t xml:space="preserve"> anisotropy (</w:t>
            </w:r>
            <w:r>
              <w:rPr>
                <w:rFonts w:ascii="Times New Roman" w:hAnsi="Times New Roman" w:cs="Times New Roman"/>
                <w:sz w:val="24"/>
                <w:szCs w:val="24"/>
              </w:rPr>
              <w:t>GFA</w:t>
            </w:r>
            <w:r w:rsidRPr="006A11F3">
              <w:rPr>
                <w:rFonts w:ascii="Times New Roman" w:hAnsi="Times New Roman" w:cs="Times New Roman"/>
                <w:sz w:val="24"/>
                <w:szCs w:val="24"/>
              </w:rPr>
              <w:t>) from neighborhood disadvantage and violence exposure. F-statistics indicate the significance of each overall model. Standardized beta values are presented. Cingulum bundle n = 300, Uncinate fasciculus n = 278, Stria terminalis/fornix n = 2</w:t>
            </w:r>
            <w:r>
              <w:rPr>
                <w:rFonts w:ascii="Times New Roman" w:hAnsi="Times New Roman" w:cs="Times New Roman"/>
                <w:sz w:val="24"/>
                <w:szCs w:val="24"/>
              </w:rPr>
              <w:t>37</w:t>
            </w:r>
            <w:r w:rsidRPr="006A11F3">
              <w:rPr>
                <w:rFonts w:ascii="Times New Roman" w:hAnsi="Times New Roman" w:cs="Times New Roman"/>
                <w:sz w:val="24"/>
                <w:szCs w:val="24"/>
              </w:rPr>
              <w:t xml:space="preserve">. Statistically significant tests are indicated with an asterisk beside the significant </w:t>
            </w:r>
            <w:r w:rsidRPr="006A11F3">
              <w:rPr>
                <w:rFonts w:ascii="Times New Roman" w:hAnsi="Times New Roman" w:cs="Times New Roman"/>
                <w:i/>
                <w:iCs/>
                <w:sz w:val="24"/>
                <w:szCs w:val="24"/>
              </w:rPr>
              <w:t>p</w:t>
            </w:r>
            <w:r w:rsidRPr="006A11F3">
              <w:rPr>
                <w:rFonts w:ascii="Times New Roman" w:hAnsi="Times New Roman" w:cs="Times New Roman"/>
                <w:sz w:val="24"/>
                <w:szCs w:val="24"/>
              </w:rPr>
              <w:t xml:space="preserve">-value (critical </w:t>
            </w:r>
            <w:r w:rsidRPr="006A11F3">
              <w:rPr>
                <w:rFonts w:ascii="Times New Roman" w:hAnsi="Times New Roman" w:cs="Times New Roman"/>
                <w:i/>
                <w:sz w:val="24"/>
                <w:szCs w:val="24"/>
              </w:rPr>
              <w:t>p</w:t>
            </w:r>
            <w:r w:rsidRPr="006A11F3">
              <w:rPr>
                <w:rFonts w:ascii="Times New Roman" w:hAnsi="Times New Roman" w:cs="Times New Roman"/>
                <w:sz w:val="24"/>
                <w:szCs w:val="24"/>
              </w:rPr>
              <w:t>-value = 0.017).</w:t>
            </w:r>
          </w:p>
        </w:tc>
      </w:tr>
    </w:tbl>
    <w:p w14:paraId="69DF8E34" w14:textId="77777777" w:rsidR="007371C5" w:rsidRDefault="007371C5">
      <w:pPr>
        <w:rPr>
          <w:rFonts w:ascii="Times New Roman" w:hAnsi="Times New Roman" w:cs="Times New Roman"/>
          <w:b/>
          <w:bCs/>
        </w:rPr>
      </w:pPr>
    </w:p>
    <w:p w14:paraId="7B1D23C2" w14:textId="6459F381" w:rsidR="007371C5" w:rsidRDefault="007371C5">
      <w:pPr>
        <w:rPr>
          <w:rFonts w:ascii="Times New Roman" w:hAnsi="Times New Roman" w:cs="Times New Roman"/>
          <w:b/>
          <w:bCs/>
        </w:rPr>
      </w:pPr>
      <w:r>
        <w:rPr>
          <w:rFonts w:ascii="Times New Roman" w:hAnsi="Times New Roman" w:cs="Times New Roman"/>
          <w:b/>
          <w:bCs/>
        </w:rPr>
        <w:br w:type="page"/>
      </w:r>
    </w:p>
    <w:p w14:paraId="40546F39" w14:textId="75F2B52B" w:rsidR="00CD43E0" w:rsidRPr="00F9213D" w:rsidRDefault="00CD43E0" w:rsidP="00F9213D">
      <w:pPr>
        <w:snapToGrid w:val="0"/>
        <w:spacing w:line="360" w:lineRule="auto"/>
        <w:jc w:val="center"/>
        <w:rPr>
          <w:rFonts w:ascii="Times New Roman" w:hAnsi="Times New Roman" w:cs="Times New Roman"/>
        </w:rPr>
      </w:pPr>
      <w:r w:rsidRPr="00F9213D">
        <w:rPr>
          <w:rFonts w:ascii="Times New Roman" w:hAnsi="Times New Roman" w:cs="Times New Roman"/>
          <w:b/>
          <w:bCs/>
        </w:rPr>
        <w:lastRenderedPageBreak/>
        <w:t>Supplementary References</w:t>
      </w:r>
    </w:p>
    <w:p w14:paraId="615B3887"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fldChar w:fldCharType="begin"/>
      </w:r>
      <w:r w:rsidRPr="00F9213D">
        <w:rPr>
          <w:rFonts w:ascii="Times New Roman" w:hAnsi="Times New Roman" w:cs="Times New Roman"/>
        </w:rPr>
        <w:instrText xml:space="preserve"> ADDIN ZOTERO_BIBL {"uncited":[],"omitted":[],"custom":[]} CSL_BIBLIOGRAPHY </w:instrText>
      </w:r>
      <w:r w:rsidRPr="00F9213D">
        <w:rPr>
          <w:rFonts w:ascii="Times New Roman" w:hAnsi="Times New Roman" w:cs="Times New Roman"/>
        </w:rPr>
        <w:fldChar w:fldCharType="separate"/>
      </w:r>
      <w:r w:rsidRPr="00F9213D">
        <w:rPr>
          <w:rFonts w:ascii="Times New Roman" w:hAnsi="Times New Roman" w:cs="Times New Roman"/>
        </w:rPr>
        <w:t xml:space="preserve">Douaud, G., Jbabdi, S., Behrens, T. E. J., Menke, R. A., Gass, A., Monsch, A. U., Rao, A., Whitcher, B., Kindlmann, G., Matthews, P. M., &amp; Smith, S. (2011). DTI measures in crossing-fibre areas: Increased diffusion anisotropy reveals early white matter alteration in MCI and mild Alzheimer’s disease. </w:t>
      </w:r>
      <w:r w:rsidRPr="00F9213D">
        <w:rPr>
          <w:rFonts w:ascii="Times New Roman" w:hAnsi="Times New Roman" w:cs="Times New Roman"/>
          <w:i/>
          <w:iCs/>
        </w:rPr>
        <w:t>NeuroImage</w:t>
      </w:r>
      <w:r w:rsidRPr="00F9213D">
        <w:rPr>
          <w:rFonts w:ascii="Times New Roman" w:hAnsi="Times New Roman" w:cs="Times New Roman"/>
        </w:rPr>
        <w:t xml:space="preserve">, </w:t>
      </w:r>
      <w:r w:rsidRPr="00F9213D">
        <w:rPr>
          <w:rFonts w:ascii="Times New Roman" w:hAnsi="Times New Roman" w:cs="Times New Roman"/>
          <w:i/>
          <w:iCs/>
        </w:rPr>
        <w:t>55</w:t>
      </w:r>
      <w:r w:rsidRPr="00F9213D">
        <w:rPr>
          <w:rFonts w:ascii="Times New Roman" w:hAnsi="Times New Roman" w:cs="Times New Roman"/>
        </w:rPr>
        <w:t>(3), 880–890. https://doi.org/10.1016/j.neuroimage.2010.12.008</w:t>
      </w:r>
    </w:p>
    <w:p w14:paraId="0394853D"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Fields, R. D. (2008). White matter in learning, cognition and psychiatric disorders. </w:t>
      </w:r>
      <w:r w:rsidRPr="00F9213D">
        <w:rPr>
          <w:rFonts w:ascii="Times New Roman" w:hAnsi="Times New Roman" w:cs="Times New Roman"/>
          <w:i/>
          <w:iCs/>
        </w:rPr>
        <w:t>Trends in Neurosciences</w:t>
      </w:r>
      <w:r w:rsidRPr="00F9213D">
        <w:rPr>
          <w:rFonts w:ascii="Times New Roman" w:hAnsi="Times New Roman" w:cs="Times New Roman"/>
        </w:rPr>
        <w:t xml:space="preserve">, </w:t>
      </w:r>
      <w:r w:rsidRPr="00F9213D">
        <w:rPr>
          <w:rFonts w:ascii="Times New Roman" w:hAnsi="Times New Roman" w:cs="Times New Roman"/>
          <w:i/>
          <w:iCs/>
        </w:rPr>
        <w:t>31</w:t>
      </w:r>
      <w:r w:rsidRPr="00F9213D">
        <w:rPr>
          <w:rFonts w:ascii="Times New Roman" w:hAnsi="Times New Roman" w:cs="Times New Roman"/>
        </w:rPr>
        <w:t>(7), 361–370. https://doi.org/10.1016/j.tins.2008.04.001</w:t>
      </w:r>
    </w:p>
    <w:p w14:paraId="73C821BD"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Jeurissen, B., Leemans, A., Tournier, J.-D., Jones, D. K., &amp; Sijbers, J. (2013). Investigating the prevalence of complex fiber configurations in white matter tissue with diffusion magnetic resonance imaging: Prevalence of Multifiber Voxels in WM. </w:t>
      </w:r>
      <w:r w:rsidRPr="00F9213D">
        <w:rPr>
          <w:rFonts w:ascii="Times New Roman" w:hAnsi="Times New Roman" w:cs="Times New Roman"/>
          <w:i/>
          <w:iCs/>
        </w:rPr>
        <w:t>Human Brain Mapping</w:t>
      </w:r>
      <w:r w:rsidRPr="00F9213D">
        <w:rPr>
          <w:rFonts w:ascii="Times New Roman" w:hAnsi="Times New Roman" w:cs="Times New Roman"/>
        </w:rPr>
        <w:t xml:space="preserve">, </w:t>
      </w:r>
      <w:r w:rsidRPr="00F9213D">
        <w:rPr>
          <w:rFonts w:ascii="Times New Roman" w:hAnsi="Times New Roman" w:cs="Times New Roman"/>
          <w:i/>
          <w:iCs/>
        </w:rPr>
        <w:t>34</w:t>
      </w:r>
      <w:r w:rsidRPr="00F9213D">
        <w:rPr>
          <w:rFonts w:ascii="Times New Roman" w:hAnsi="Times New Roman" w:cs="Times New Roman"/>
        </w:rPr>
        <w:t>(11), 2747–2766. https://doi.org/10.1002/hbm.22099</w:t>
      </w:r>
    </w:p>
    <w:p w14:paraId="5FC352C8"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McLaughlin, K. A., Sheridan, M. A., &amp; Nelson, C. A. (2017). Neglect as a Violation of Species-Expectant Experience: Neurodevelopmental Consequences. </w:t>
      </w:r>
      <w:r w:rsidRPr="00F9213D">
        <w:rPr>
          <w:rFonts w:ascii="Times New Roman" w:hAnsi="Times New Roman" w:cs="Times New Roman"/>
          <w:i/>
          <w:iCs/>
        </w:rPr>
        <w:t>Biological Psychiatry</w:t>
      </w:r>
      <w:r w:rsidRPr="00F9213D">
        <w:rPr>
          <w:rFonts w:ascii="Times New Roman" w:hAnsi="Times New Roman" w:cs="Times New Roman"/>
        </w:rPr>
        <w:t xml:space="preserve">, </w:t>
      </w:r>
      <w:r w:rsidRPr="00F9213D">
        <w:rPr>
          <w:rFonts w:ascii="Times New Roman" w:hAnsi="Times New Roman" w:cs="Times New Roman"/>
          <w:i/>
          <w:iCs/>
        </w:rPr>
        <w:t>82</w:t>
      </w:r>
      <w:r w:rsidRPr="00F9213D">
        <w:rPr>
          <w:rFonts w:ascii="Times New Roman" w:hAnsi="Times New Roman" w:cs="Times New Roman"/>
        </w:rPr>
        <w:t>(7), 462–471. https://doi.org/10.1016/j.biopsych.2017.02.1096</w:t>
      </w:r>
    </w:p>
    <w:p w14:paraId="634BBE10"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Perkins, S., &amp; Graham-Bermann, S. (2012). Violence Exposure and the Development of School-Related Functioning: Mental Health, Neurocognition, and Learning. </w:t>
      </w:r>
      <w:r w:rsidRPr="00F9213D">
        <w:rPr>
          <w:rFonts w:ascii="Times New Roman" w:hAnsi="Times New Roman" w:cs="Times New Roman"/>
          <w:i/>
          <w:iCs/>
        </w:rPr>
        <w:t>Aggression and Violent Behavior</w:t>
      </w:r>
      <w:r w:rsidRPr="00F9213D">
        <w:rPr>
          <w:rFonts w:ascii="Times New Roman" w:hAnsi="Times New Roman" w:cs="Times New Roman"/>
        </w:rPr>
        <w:t xml:space="preserve">, </w:t>
      </w:r>
      <w:r w:rsidRPr="00F9213D">
        <w:rPr>
          <w:rFonts w:ascii="Times New Roman" w:hAnsi="Times New Roman" w:cs="Times New Roman"/>
          <w:i/>
          <w:iCs/>
        </w:rPr>
        <w:t>17</w:t>
      </w:r>
      <w:r w:rsidRPr="00F9213D">
        <w:rPr>
          <w:rFonts w:ascii="Times New Roman" w:hAnsi="Times New Roman" w:cs="Times New Roman"/>
        </w:rPr>
        <w:t>(1), 89–98. https://doi.org/10.1016/j.avb.2011.10.001</w:t>
      </w:r>
    </w:p>
    <w:p w14:paraId="6BC74BDE"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Sheridan, M. A., &amp; McLaughlin, K. A. (2014). Dimensions of early experience and neural development: Deprivation and threat. </w:t>
      </w:r>
      <w:r w:rsidRPr="00F9213D">
        <w:rPr>
          <w:rFonts w:ascii="Times New Roman" w:hAnsi="Times New Roman" w:cs="Times New Roman"/>
          <w:i/>
          <w:iCs/>
        </w:rPr>
        <w:t>Trends in Cognitive Sciences</w:t>
      </w:r>
      <w:r w:rsidRPr="00F9213D">
        <w:rPr>
          <w:rFonts w:ascii="Times New Roman" w:hAnsi="Times New Roman" w:cs="Times New Roman"/>
        </w:rPr>
        <w:t xml:space="preserve">, </w:t>
      </w:r>
      <w:r w:rsidRPr="00F9213D">
        <w:rPr>
          <w:rFonts w:ascii="Times New Roman" w:hAnsi="Times New Roman" w:cs="Times New Roman"/>
          <w:i/>
          <w:iCs/>
        </w:rPr>
        <w:t>18</w:t>
      </w:r>
      <w:r w:rsidRPr="00F9213D">
        <w:rPr>
          <w:rFonts w:ascii="Times New Roman" w:hAnsi="Times New Roman" w:cs="Times New Roman"/>
        </w:rPr>
        <w:t>(11), 580–585. https://doi.org/10.1016/j.tics.2014.09.001</w:t>
      </w:r>
    </w:p>
    <w:p w14:paraId="57B67E9B"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Tuch, D. S., Salat, D. H., Wisco, J. J., Zaleta, A. K., Hevelone, N. D., &amp; Rosas, H. D. (2005). Choice reaction time performance correlates with diffusion anisotropy in white matter pathways supporting visuospatial attention. </w:t>
      </w:r>
      <w:r w:rsidRPr="00F9213D">
        <w:rPr>
          <w:rFonts w:ascii="Times New Roman" w:hAnsi="Times New Roman" w:cs="Times New Roman"/>
          <w:i/>
          <w:iCs/>
        </w:rPr>
        <w:t>Proceedings of the National Academy of Sciences of the United States of America</w:t>
      </w:r>
      <w:r w:rsidRPr="00F9213D">
        <w:rPr>
          <w:rFonts w:ascii="Times New Roman" w:hAnsi="Times New Roman" w:cs="Times New Roman"/>
        </w:rPr>
        <w:t xml:space="preserve">, </w:t>
      </w:r>
      <w:r w:rsidRPr="00F9213D">
        <w:rPr>
          <w:rFonts w:ascii="Times New Roman" w:hAnsi="Times New Roman" w:cs="Times New Roman"/>
          <w:i/>
          <w:iCs/>
        </w:rPr>
        <w:t>102</w:t>
      </w:r>
      <w:r w:rsidRPr="00F9213D">
        <w:rPr>
          <w:rFonts w:ascii="Times New Roman" w:hAnsi="Times New Roman" w:cs="Times New Roman"/>
        </w:rPr>
        <w:t>(34), 12212–12217. https://doi.org/10.1073/pnas.0407259102</w:t>
      </w:r>
    </w:p>
    <w:p w14:paraId="0F23DD00"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Volbers, B., Mennecke, A., Kästle, N., Huttner, H. B., Schwab, S., Schmidt, M. A., Engelhorn, T., &amp; Doerfler, A. (2020). Quantitative Corticospinal Tract Assessment in Acute Intracerebral Hemorrhage. </w:t>
      </w:r>
      <w:r w:rsidRPr="00F9213D">
        <w:rPr>
          <w:rFonts w:ascii="Times New Roman" w:hAnsi="Times New Roman" w:cs="Times New Roman"/>
          <w:i/>
          <w:iCs/>
        </w:rPr>
        <w:t>Translational Stroke Research</w:t>
      </w:r>
      <w:r w:rsidRPr="00F9213D">
        <w:rPr>
          <w:rFonts w:ascii="Times New Roman" w:hAnsi="Times New Roman" w:cs="Times New Roman"/>
        </w:rPr>
        <w:t>. https://doi.org/10.1007/s12975-020-00850-9</w:t>
      </w:r>
    </w:p>
    <w:p w14:paraId="6DE1F08F"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lastRenderedPageBreak/>
        <w:t xml:space="preserve">Yeh, F.-C., Panesar, S., Fernandes, D., Meola, A., Yoshino, M., Fernandez-Miranda, J. C., Vettel, J. M., &amp; Verstynen, T. (2018). Population-averaged atlas of the macroscale human structural connectome and its network topology. </w:t>
      </w:r>
      <w:r w:rsidRPr="00F9213D">
        <w:rPr>
          <w:rFonts w:ascii="Times New Roman" w:hAnsi="Times New Roman" w:cs="Times New Roman"/>
          <w:i/>
          <w:iCs/>
        </w:rPr>
        <w:t>NeuroImage</w:t>
      </w:r>
      <w:r w:rsidRPr="00F9213D">
        <w:rPr>
          <w:rFonts w:ascii="Times New Roman" w:hAnsi="Times New Roman" w:cs="Times New Roman"/>
        </w:rPr>
        <w:t xml:space="preserve">, </w:t>
      </w:r>
      <w:r w:rsidRPr="00F9213D">
        <w:rPr>
          <w:rFonts w:ascii="Times New Roman" w:hAnsi="Times New Roman" w:cs="Times New Roman"/>
          <w:i/>
          <w:iCs/>
        </w:rPr>
        <w:t>178</w:t>
      </w:r>
      <w:r w:rsidRPr="00F9213D">
        <w:rPr>
          <w:rFonts w:ascii="Times New Roman" w:hAnsi="Times New Roman" w:cs="Times New Roman"/>
        </w:rPr>
        <w:t>, 57–68. https://doi.org/10.1016/j.neuroimage.2018.05.027</w:t>
      </w:r>
    </w:p>
    <w:p w14:paraId="0FD69A8F"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Yeh, F.-C., Verstynen, T. D., Wang, Y., Fernández-Miranda, J. C., &amp; Tseng, W.-Y. I. (2013). Deterministic diffusion fiber tracking improved by quantitative anisotropy. </w:t>
      </w:r>
      <w:r w:rsidRPr="00F9213D">
        <w:rPr>
          <w:rFonts w:ascii="Times New Roman" w:hAnsi="Times New Roman" w:cs="Times New Roman"/>
          <w:i/>
          <w:iCs/>
        </w:rPr>
        <w:t>PloS One</w:t>
      </w:r>
      <w:r w:rsidRPr="00F9213D">
        <w:rPr>
          <w:rFonts w:ascii="Times New Roman" w:hAnsi="Times New Roman" w:cs="Times New Roman"/>
        </w:rPr>
        <w:t xml:space="preserve">, </w:t>
      </w:r>
      <w:r w:rsidRPr="00F9213D">
        <w:rPr>
          <w:rFonts w:ascii="Times New Roman" w:hAnsi="Times New Roman" w:cs="Times New Roman"/>
          <w:i/>
          <w:iCs/>
        </w:rPr>
        <w:t>8</w:t>
      </w:r>
      <w:r w:rsidRPr="00F9213D">
        <w:rPr>
          <w:rFonts w:ascii="Times New Roman" w:hAnsi="Times New Roman" w:cs="Times New Roman"/>
        </w:rPr>
        <w:t>(11), e80713. https://doi.org/10.1371/journal.pone.0080713</w:t>
      </w:r>
    </w:p>
    <w:p w14:paraId="36F41620" w14:textId="77777777" w:rsidR="00F9213D" w:rsidRPr="00F9213D" w:rsidRDefault="00F9213D" w:rsidP="00F9213D">
      <w:pPr>
        <w:pStyle w:val="Bibliography"/>
        <w:snapToGrid w:val="0"/>
        <w:spacing w:line="360" w:lineRule="auto"/>
        <w:rPr>
          <w:rFonts w:ascii="Times New Roman" w:hAnsi="Times New Roman" w:cs="Times New Roman"/>
        </w:rPr>
      </w:pPr>
      <w:r w:rsidRPr="00F9213D">
        <w:rPr>
          <w:rFonts w:ascii="Times New Roman" w:hAnsi="Times New Roman" w:cs="Times New Roman"/>
        </w:rPr>
        <w:t xml:space="preserve">Yeh, F.-C., Vettel, J. M., Singh, A., Poczos, B., Grafton, S. T., Erickson, K. I., Tseng, W.-Y. I., &amp; Verstynen, T. D. (2016). Quantifying Differences and Similarities in Whole-Brain White Matter Architecture Using Local Connectome Fingerprints. </w:t>
      </w:r>
      <w:r w:rsidRPr="00F9213D">
        <w:rPr>
          <w:rFonts w:ascii="Times New Roman" w:hAnsi="Times New Roman" w:cs="Times New Roman"/>
          <w:i/>
          <w:iCs/>
        </w:rPr>
        <w:t>PLoS Computational Biology</w:t>
      </w:r>
      <w:r w:rsidRPr="00F9213D">
        <w:rPr>
          <w:rFonts w:ascii="Times New Roman" w:hAnsi="Times New Roman" w:cs="Times New Roman"/>
        </w:rPr>
        <w:t xml:space="preserve">, </w:t>
      </w:r>
      <w:r w:rsidRPr="00F9213D">
        <w:rPr>
          <w:rFonts w:ascii="Times New Roman" w:hAnsi="Times New Roman" w:cs="Times New Roman"/>
          <w:i/>
          <w:iCs/>
        </w:rPr>
        <w:t>12</w:t>
      </w:r>
      <w:r w:rsidRPr="00F9213D">
        <w:rPr>
          <w:rFonts w:ascii="Times New Roman" w:hAnsi="Times New Roman" w:cs="Times New Roman"/>
        </w:rPr>
        <w:t>(11), e1005203. https://doi.org/10.1371/journal.pcbi.1005203</w:t>
      </w:r>
    </w:p>
    <w:p w14:paraId="68E5C225" w14:textId="0F12BBE2" w:rsidR="00BD0A61" w:rsidRDefault="00F9213D" w:rsidP="00F9213D">
      <w:pPr>
        <w:snapToGrid w:val="0"/>
        <w:spacing w:line="360" w:lineRule="auto"/>
        <w:jc w:val="both"/>
        <w:rPr>
          <w:rFonts w:ascii="Times New Roman" w:hAnsi="Times New Roman" w:cs="Times New Roman"/>
        </w:rPr>
      </w:pPr>
      <w:r w:rsidRPr="00F9213D">
        <w:rPr>
          <w:rFonts w:ascii="Times New Roman" w:hAnsi="Times New Roman" w:cs="Times New Roman"/>
        </w:rPr>
        <w:fldChar w:fldCharType="end"/>
      </w:r>
    </w:p>
    <w:p w14:paraId="672553D6" w14:textId="24B08E20" w:rsidR="008A7191" w:rsidRPr="00F9213D" w:rsidRDefault="008A7191" w:rsidP="007371C5">
      <w:pPr>
        <w:rPr>
          <w:rFonts w:ascii="Times New Roman" w:hAnsi="Times New Roman" w:cs="Times New Roman"/>
        </w:rPr>
      </w:pPr>
    </w:p>
    <w:sectPr w:rsidR="008A7191" w:rsidRPr="00F9213D" w:rsidSect="00AD4F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3E26" w14:textId="77777777" w:rsidR="006046F9" w:rsidRDefault="006046F9" w:rsidP="00AD4F69">
      <w:r>
        <w:separator/>
      </w:r>
    </w:p>
  </w:endnote>
  <w:endnote w:type="continuationSeparator" w:id="0">
    <w:p w14:paraId="0D2DBDCA" w14:textId="77777777" w:rsidR="006046F9" w:rsidRDefault="006046F9" w:rsidP="00AD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A882" w14:textId="77777777" w:rsidR="006046F9" w:rsidRDefault="006046F9" w:rsidP="00AD4F69">
      <w:r>
        <w:separator/>
      </w:r>
    </w:p>
  </w:footnote>
  <w:footnote w:type="continuationSeparator" w:id="0">
    <w:p w14:paraId="4F2DDE33" w14:textId="77777777" w:rsidR="006046F9" w:rsidRDefault="006046F9" w:rsidP="00AD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81355231"/>
      <w:docPartObj>
        <w:docPartGallery w:val="Page Numbers (Top of Page)"/>
        <w:docPartUnique/>
      </w:docPartObj>
    </w:sdtPr>
    <w:sdtEndPr>
      <w:rPr>
        <w:noProof/>
      </w:rPr>
    </w:sdtEndPr>
    <w:sdtContent>
      <w:p w14:paraId="5ED70ED3" w14:textId="62B8FCB3" w:rsidR="005752AE" w:rsidRPr="006504A3" w:rsidRDefault="005752AE" w:rsidP="00AD4F69">
        <w:pPr>
          <w:pStyle w:val="Header"/>
          <w:rPr>
            <w:rFonts w:ascii="Times New Roman" w:hAnsi="Times New Roman" w:cs="Times New Roman"/>
          </w:rPr>
        </w:pPr>
        <w:r w:rsidRPr="006504A3">
          <w:rPr>
            <w:rFonts w:ascii="Times New Roman" w:hAnsi="Times New Roman" w:cs="Times New Roman"/>
          </w:rPr>
          <w:t>NEIGHBORHOOD DISADVANTAGE AND WHITE MATTER</w:t>
        </w:r>
        <w:r>
          <w:rPr>
            <w:rFonts w:ascii="Times New Roman" w:hAnsi="Times New Roman" w:cs="Times New Roman"/>
          </w:rPr>
          <w:tab/>
        </w:r>
        <w:r w:rsidRPr="006504A3">
          <w:rPr>
            <w:rFonts w:ascii="Times New Roman" w:hAnsi="Times New Roman" w:cs="Times New Roman"/>
          </w:rPr>
          <w:fldChar w:fldCharType="begin"/>
        </w:r>
        <w:r w:rsidRPr="006504A3">
          <w:rPr>
            <w:rFonts w:ascii="Times New Roman" w:hAnsi="Times New Roman" w:cs="Times New Roman"/>
          </w:rPr>
          <w:instrText xml:space="preserve"> PAGE   \* MERGEFORMAT </w:instrText>
        </w:r>
        <w:r w:rsidRPr="006504A3">
          <w:rPr>
            <w:rFonts w:ascii="Times New Roman" w:hAnsi="Times New Roman" w:cs="Times New Roman"/>
          </w:rPr>
          <w:fldChar w:fldCharType="separate"/>
        </w:r>
        <w:r w:rsidR="00407736">
          <w:rPr>
            <w:rFonts w:ascii="Times New Roman" w:hAnsi="Times New Roman" w:cs="Times New Roman"/>
            <w:noProof/>
          </w:rPr>
          <w:t>9</w:t>
        </w:r>
        <w:r w:rsidRPr="006504A3">
          <w:rPr>
            <w:rFonts w:ascii="Times New Roman" w:hAnsi="Times New Roman" w:cs="Times New Roman"/>
            <w:noProof/>
          </w:rPr>
          <w:fldChar w:fldCharType="end"/>
        </w:r>
      </w:p>
    </w:sdtContent>
  </w:sdt>
  <w:p w14:paraId="6E920F30" w14:textId="77777777" w:rsidR="005752AE" w:rsidRDefault="00575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69"/>
    <w:rsid w:val="000018CA"/>
    <w:rsid w:val="00031F39"/>
    <w:rsid w:val="000857C2"/>
    <w:rsid w:val="00093561"/>
    <w:rsid w:val="001544FD"/>
    <w:rsid w:val="00213E72"/>
    <w:rsid w:val="00220EDF"/>
    <w:rsid w:val="002D68AA"/>
    <w:rsid w:val="002E525C"/>
    <w:rsid w:val="00353964"/>
    <w:rsid w:val="00372B5C"/>
    <w:rsid w:val="003A6390"/>
    <w:rsid w:val="003C0C1D"/>
    <w:rsid w:val="003E745D"/>
    <w:rsid w:val="00407736"/>
    <w:rsid w:val="0047022A"/>
    <w:rsid w:val="005752AE"/>
    <w:rsid w:val="00585E87"/>
    <w:rsid w:val="005B5430"/>
    <w:rsid w:val="005C467D"/>
    <w:rsid w:val="006046F9"/>
    <w:rsid w:val="00674C44"/>
    <w:rsid w:val="006F4F29"/>
    <w:rsid w:val="00734984"/>
    <w:rsid w:val="007371C5"/>
    <w:rsid w:val="008474FD"/>
    <w:rsid w:val="008A7191"/>
    <w:rsid w:val="008F0E57"/>
    <w:rsid w:val="009D7271"/>
    <w:rsid w:val="00A0373C"/>
    <w:rsid w:val="00A449F0"/>
    <w:rsid w:val="00AD4F69"/>
    <w:rsid w:val="00B200DE"/>
    <w:rsid w:val="00B7644A"/>
    <w:rsid w:val="00BD0A61"/>
    <w:rsid w:val="00C4098B"/>
    <w:rsid w:val="00CA5315"/>
    <w:rsid w:val="00CD43E0"/>
    <w:rsid w:val="00DA791D"/>
    <w:rsid w:val="00DC1DE1"/>
    <w:rsid w:val="00E71296"/>
    <w:rsid w:val="00F9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615E"/>
  <w15:chartTrackingRefBased/>
  <w15:docId w15:val="{82168DFF-9FEB-6544-A030-09C0CAD5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4F69"/>
  </w:style>
  <w:style w:type="paragraph" w:styleId="Header">
    <w:name w:val="header"/>
    <w:basedOn w:val="Normal"/>
    <w:link w:val="HeaderChar"/>
    <w:uiPriority w:val="99"/>
    <w:unhideWhenUsed/>
    <w:rsid w:val="00AD4F69"/>
    <w:pPr>
      <w:tabs>
        <w:tab w:val="center" w:pos="4680"/>
        <w:tab w:val="right" w:pos="9360"/>
      </w:tabs>
    </w:pPr>
  </w:style>
  <w:style w:type="character" w:customStyle="1" w:styleId="HeaderChar">
    <w:name w:val="Header Char"/>
    <w:basedOn w:val="DefaultParagraphFont"/>
    <w:link w:val="Header"/>
    <w:uiPriority w:val="99"/>
    <w:rsid w:val="00AD4F69"/>
  </w:style>
  <w:style w:type="paragraph" w:styleId="Footer">
    <w:name w:val="footer"/>
    <w:basedOn w:val="Normal"/>
    <w:link w:val="FooterChar"/>
    <w:uiPriority w:val="99"/>
    <w:unhideWhenUsed/>
    <w:rsid w:val="00AD4F69"/>
    <w:pPr>
      <w:tabs>
        <w:tab w:val="center" w:pos="4680"/>
        <w:tab w:val="right" w:pos="9360"/>
      </w:tabs>
    </w:pPr>
  </w:style>
  <w:style w:type="character" w:customStyle="1" w:styleId="FooterChar">
    <w:name w:val="Footer Char"/>
    <w:basedOn w:val="DefaultParagraphFont"/>
    <w:link w:val="Footer"/>
    <w:uiPriority w:val="99"/>
    <w:rsid w:val="00AD4F69"/>
  </w:style>
  <w:style w:type="character" w:styleId="CommentReference">
    <w:name w:val="annotation reference"/>
    <w:basedOn w:val="DefaultParagraphFont"/>
    <w:uiPriority w:val="99"/>
    <w:semiHidden/>
    <w:unhideWhenUsed/>
    <w:rsid w:val="00A0373C"/>
    <w:rPr>
      <w:sz w:val="16"/>
      <w:szCs w:val="16"/>
    </w:rPr>
  </w:style>
  <w:style w:type="paragraph" w:styleId="CommentText">
    <w:name w:val="annotation text"/>
    <w:basedOn w:val="Normal"/>
    <w:link w:val="CommentTextChar"/>
    <w:uiPriority w:val="99"/>
    <w:semiHidden/>
    <w:unhideWhenUsed/>
    <w:rsid w:val="00A0373C"/>
    <w:rPr>
      <w:sz w:val="20"/>
      <w:szCs w:val="20"/>
    </w:rPr>
  </w:style>
  <w:style w:type="character" w:customStyle="1" w:styleId="CommentTextChar">
    <w:name w:val="Comment Text Char"/>
    <w:basedOn w:val="DefaultParagraphFont"/>
    <w:link w:val="CommentText"/>
    <w:uiPriority w:val="99"/>
    <w:semiHidden/>
    <w:rsid w:val="00A0373C"/>
    <w:rPr>
      <w:sz w:val="20"/>
      <w:szCs w:val="20"/>
    </w:rPr>
  </w:style>
  <w:style w:type="paragraph" w:styleId="CommentSubject">
    <w:name w:val="annotation subject"/>
    <w:basedOn w:val="CommentText"/>
    <w:next w:val="CommentText"/>
    <w:link w:val="CommentSubjectChar"/>
    <w:uiPriority w:val="99"/>
    <w:semiHidden/>
    <w:unhideWhenUsed/>
    <w:rsid w:val="009D7271"/>
    <w:rPr>
      <w:b/>
      <w:bCs/>
    </w:rPr>
  </w:style>
  <w:style w:type="character" w:customStyle="1" w:styleId="CommentSubjectChar">
    <w:name w:val="Comment Subject Char"/>
    <w:basedOn w:val="CommentTextChar"/>
    <w:link w:val="CommentSubject"/>
    <w:uiPriority w:val="99"/>
    <w:semiHidden/>
    <w:rsid w:val="009D7271"/>
    <w:rPr>
      <w:b/>
      <w:bCs/>
      <w:sz w:val="20"/>
      <w:szCs w:val="20"/>
    </w:rPr>
  </w:style>
  <w:style w:type="paragraph" w:styleId="Bibliography">
    <w:name w:val="Bibliography"/>
    <w:basedOn w:val="Normal"/>
    <w:next w:val="Normal"/>
    <w:uiPriority w:val="37"/>
    <w:unhideWhenUsed/>
    <w:rsid w:val="00F9213D"/>
    <w:pPr>
      <w:spacing w:line="480" w:lineRule="auto"/>
      <w:ind w:left="720" w:hanging="720"/>
    </w:pPr>
  </w:style>
  <w:style w:type="table" w:styleId="TableGrid">
    <w:name w:val="Table Grid"/>
    <w:basedOn w:val="TableNormal"/>
    <w:uiPriority w:val="39"/>
    <w:rsid w:val="008A71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2AE"/>
    <w:rPr>
      <w:rFonts w:ascii="Segoe UI" w:hAnsi="Segoe UI" w:cs="Segoe UI"/>
      <w:sz w:val="18"/>
      <w:szCs w:val="18"/>
    </w:rPr>
  </w:style>
  <w:style w:type="paragraph" w:styleId="Revision">
    <w:name w:val="Revision"/>
    <w:hidden/>
    <w:uiPriority w:val="99"/>
    <w:semiHidden/>
    <w:rsid w:val="0073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9832</Words>
  <Characters>56046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Juliann</dc:creator>
  <cp:keywords/>
  <dc:description/>
  <cp:lastModifiedBy>Purcell, Juliann</cp:lastModifiedBy>
  <cp:revision>4</cp:revision>
  <dcterms:created xsi:type="dcterms:W3CDTF">2021-04-27T18:04:00Z</dcterms:created>
  <dcterms:modified xsi:type="dcterms:W3CDTF">2021-05-04T20:07:00Z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id="GaSXWIq6"/&gt;&lt;style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