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5AB1A" w14:textId="77777777" w:rsidR="00924B76" w:rsidRDefault="00924B76" w:rsidP="00924B76">
      <w:pPr>
        <w:autoSpaceDE w:val="0"/>
        <w:autoSpaceDN w:val="0"/>
        <w:adjustRightInd w:val="0"/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Supplemental Table 1</w:t>
      </w:r>
      <w:r w:rsidRPr="00B96D54">
        <w:rPr>
          <w:b/>
          <w:color w:val="000000" w:themeColor="text1"/>
        </w:rPr>
        <w:t>:  Multilinear regression (</w:t>
      </w:r>
      <w:r w:rsidRPr="00B96D54">
        <w:rPr>
          <w:rFonts w:ascii="Symbol" w:hAnsi="Symbol"/>
          <w:b/>
          <w:color w:val="000000" w:themeColor="text1"/>
        </w:rPr>
        <w:t></w:t>
      </w:r>
      <w:r w:rsidRPr="00B96D54">
        <w:rPr>
          <w:b/>
          <w:color w:val="000000" w:themeColor="text1"/>
        </w:rPr>
        <w:t xml:space="preserve"> coefficients </w:t>
      </w:r>
      <w:r>
        <w:rPr>
          <w:b/>
          <w:color w:val="000000" w:themeColor="text1"/>
        </w:rPr>
        <w:t>and SE</w:t>
      </w:r>
      <w:r w:rsidRPr="00B96D54">
        <w:rPr>
          <w:b/>
          <w:color w:val="000000" w:themeColor="text1"/>
        </w:rPr>
        <w:t>) between</w:t>
      </w:r>
      <w:r>
        <w:rPr>
          <w:b/>
          <w:color w:val="000000" w:themeColor="text1"/>
        </w:rPr>
        <w:t xml:space="preserve"> Log Natural-transformed </w:t>
      </w:r>
      <w:r w:rsidRPr="00B96D54">
        <w:rPr>
          <w:b/>
          <w:color w:val="000000" w:themeColor="text1"/>
        </w:rPr>
        <w:t xml:space="preserve"> BMI and BLL quartile in adult participants in NHANES 1999-2006</w:t>
      </w:r>
      <w:r>
        <w:rPr>
          <w:b/>
          <w:color w:val="000000" w:themeColor="text1"/>
        </w:rPr>
        <w:t>, NHANES 1999-2002, and NHANES 2003-2006.</w:t>
      </w:r>
    </w:p>
    <w:tbl>
      <w:tblPr>
        <w:tblpPr w:leftFromText="180" w:rightFromText="180" w:vertAnchor="text" w:tblpY="1"/>
        <w:tblOverlap w:val="never"/>
        <w:tblW w:w="11701" w:type="dxa"/>
        <w:tblLook w:val="04A0" w:firstRow="1" w:lastRow="0" w:firstColumn="1" w:lastColumn="0" w:noHBand="0" w:noVBand="1"/>
      </w:tblPr>
      <w:tblGrid>
        <w:gridCol w:w="2902"/>
        <w:gridCol w:w="1216"/>
        <w:gridCol w:w="1750"/>
        <w:gridCol w:w="1332"/>
        <w:gridCol w:w="1586"/>
        <w:gridCol w:w="1294"/>
        <w:gridCol w:w="1621"/>
      </w:tblGrid>
      <w:tr w:rsidR="00924B76" w:rsidRPr="003A30C3" w14:paraId="3C16264F" w14:textId="77777777" w:rsidTr="00701929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1CB68" w14:textId="77777777" w:rsidR="00924B76" w:rsidRPr="008D4FE4" w:rsidRDefault="00924B76" w:rsidP="00701929">
            <w:pPr>
              <w:spacing w:line="360" w:lineRule="auto"/>
              <w:jc w:val="center"/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508C9" w14:textId="77777777" w:rsidR="00924B76" w:rsidRPr="008D4FE4" w:rsidRDefault="00924B76" w:rsidP="00701929">
            <w:pPr>
              <w:spacing w:line="360" w:lineRule="auto"/>
              <w:jc w:val="center"/>
            </w:pPr>
            <w:r w:rsidRPr="008D4FE4">
              <w:t>NHANES 1999 - 2006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EBCBD" w14:textId="77777777" w:rsidR="00924B76" w:rsidRPr="008D4FE4" w:rsidRDefault="00924B76" w:rsidP="00701929">
            <w:pPr>
              <w:spacing w:line="360" w:lineRule="auto"/>
              <w:jc w:val="center"/>
            </w:pPr>
            <w:r w:rsidRPr="008D4FE4">
              <w:t>NHANES 1999 - 2002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BA7EF" w14:textId="77777777" w:rsidR="00924B76" w:rsidRPr="008D4FE4" w:rsidRDefault="00924B76" w:rsidP="00701929">
            <w:pPr>
              <w:spacing w:line="360" w:lineRule="auto"/>
              <w:jc w:val="center"/>
            </w:pPr>
            <w:r w:rsidRPr="008D4FE4">
              <w:t>NHANES 2003 - 2006</w:t>
            </w:r>
          </w:p>
        </w:tc>
      </w:tr>
      <w:tr w:rsidR="00924B76" w:rsidRPr="003A30C3" w14:paraId="4920C41C" w14:textId="77777777" w:rsidTr="00701929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87E2A" w14:textId="77777777" w:rsidR="00924B76" w:rsidRPr="008D4FE4" w:rsidRDefault="00924B76" w:rsidP="00701929">
            <w:pPr>
              <w:spacing w:line="36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CE673" w14:textId="77777777" w:rsidR="00924B76" w:rsidRPr="008D4FE4" w:rsidRDefault="00924B76" w:rsidP="00701929">
            <w:pPr>
              <w:spacing w:line="360" w:lineRule="auto"/>
              <w:jc w:val="center"/>
            </w:pPr>
            <w:r>
              <w:t>% (SE)</w:t>
            </w:r>
            <w:r w:rsidRPr="000C21ED">
              <w:rPr>
                <w:vertAlign w:val="superscript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1B7C5" w14:textId="77777777" w:rsidR="00924B76" w:rsidRPr="008D4FE4" w:rsidRDefault="00924B76" w:rsidP="00701929">
            <w:pPr>
              <w:spacing w:line="360" w:lineRule="auto"/>
              <w:jc w:val="center"/>
            </w:pPr>
            <w:r w:rsidRPr="002C038B">
              <w:rPr>
                <w:rFonts w:ascii="Symbol" w:hAnsi="Symbol"/>
              </w:rPr>
              <w:t></w:t>
            </w:r>
            <w:r>
              <w:t xml:space="preserve"> (SE)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3F348" w14:textId="77777777" w:rsidR="00924B76" w:rsidRPr="008D4FE4" w:rsidRDefault="00924B76" w:rsidP="00701929">
            <w:pPr>
              <w:spacing w:line="360" w:lineRule="auto"/>
              <w:jc w:val="center"/>
            </w:pPr>
            <w:r>
              <w:t>% (SE)</w:t>
            </w:r>
            <w:r w:rsidRPr="000C21ED">
              <w:rPr>
                <w:vertAlign w:val="superscript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8EE85" w14:textId="77777777" w:rsidR="00924B76" w:rsidRPr="008D4FE4" w:rsidRDefault="00924B76" w:rsidP="00701929">
            <w:pPr>
              <w:spacing w:line="360" w:lineRule="auto"/>
              <w:jc w:val="center"/>
            </w:pPr>
            <w:r w:rsidRPr="002C038B">
              <w:rPr>
                <w:rFonts w:ascii="Symbol" w:hAnsi="Symbol"/>
              </w:rPr>
              <w:t></w:t>
            </w:r>
            <w:r>
              <w:t xml:space="preserve"> (SE)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B3243B" w14:textId="77777777" w:rsidR="00924B76" w:rsidRPr="008D4FE4" w:rsidRDefault="00924B76" w:rsidP="00701929">
            <w:pPr>
              <w:spacing w:line="360" w:lineRule="auto"/>
              <w:jc w:val="center"/>
            </w:pPr>
            <w:r>
              <w:t>% (SE)</w:t>
            </w:r>
            <w:r w:rsidRPr="000C21ED">
              <w:rPr>
                <w:vertAlign w:val="superscript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1C2F3" w14:textId="77777777" w:rsidR="00924B76" w:rsidRPr="008D4FE4" w:rsidRDefault="00924B76" w:rsidP="00701929">
            <w:pPr>
              <w:spacing w:line="360" w:lineRule="auto"/>
              <w:jc w:val="center"/>
            </w:pPr>
            <w:r w:rsidRPr="002C038B">
              <w:rPr>
                <w:rFonts w:ascii="Symbol" w:hAnsi="Symbol"/>
              </w:rPr>
              <w:t></w:t>
            </w:r>
            <w:r>
              <w:t xml:space="preserve"> (SE)</w:t>
            </w:r>
          </w:p>
        </w:tc>
      </w:tr>
      <w:tr w:rsidR="00924B76" w:rsidRPr="003A30C3" w14:paraId="10D3C528" w14:textId="77777777" w:rsidTr="00701929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04C4E" w14:textId="77777777" w:rsidR="00924B76" w:rsidRDefault="00924B76" w:rsidP="00701929">
            <w:pPr>
              <w:spacing w:line="360" w:lineRule="auto"/>
            </w:pPr>
            <w:r w:rsidRPr="003A30C3">
              <w:t>BLL Quartile 1</w:t>
            </w:r>
            <w:r>
              <w:t xml:space="preserve"> </w:t>
            </w:r>
          </w:p>
          <w:p w14:paraId="514BEF8D" w14:textId="77777777" w:rsidR="00924B76" w:rsidRPr="008D4FE4" w:rsidRDefault="00924B76" w:rsidP="00701929">
            <w:pPr>
              <w:spacing w:line="360" w:lineRule="auto"/>
            </w:pPr>
            <w:r w:rsidRPr="003A30C3">
              <w:rPr>
                <w:rFonts w:cs="Courier New"/>
                <w:color w:val="000000"/>
                <w:shd w:val="clear" w:color="auto" w:fill="FFFFFF"/>
              </w:rPr>
              <w:t>(≤0.70</w:t>
            </w:r>
            <w:r w:rsidRPr="003A30C3">
              <w:rPr>
                <w:color w:val="231F20"/>
              </w:rPr>
              <w:t xml:space="preserve"> </w:t>
            </w:r>
            <w:r w:rsidRPr="003A30C3">
              <w:rPr>
                <w:rFonts w:ascii="Calibri" w:hAnsi="Calibri"/>
                <w:color w:val="231F20"/>
              </w:rPr>
              <w:t>µ</w:t>
            </w:r>
            <w:r w:rsidRPr="003A30C3">
              <w:rPr>
                <w:color w:val="231F20"/>
              </w:rPr>
              <w:t>g/dL)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31DC4C" w14:textId="77777777" w:rsidR="00924B76" w:rsidRPr="003A30C3" w:rsidRDefault="00924B76" w:rsidP="0070192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 (0.72)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D34EA" w14:textId="77777777" w:rsidR="00924B76" w:rsidRPr="008D4FE4" w:rsidRDefault="00924B76" w:rsidP="00701929">
            <w:pPr>
              <w:spacing w:line="360" w:lineRule="auto"/>
              <w:jc w:val="center"/>
            </w:pPr>
            <w:r>
              <w:t>0 (Reference)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43BEAA" w14:textId="77777777" w:rsidR="00924B76" w:rsidRPr="003A30C3" w:rsidRDefault="00924B76" w:rsidP="0070192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21.8 (0.82)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64870" w14:textId="77777777" w:rsidR="00924B76" w:rsidRPr="008D4FE4" w:rsidRDefault="00924B76" w:rsidP="00701929">
            <w:pPr>
              <w:spacing w:line="360" w:lineRule="auto"/>
              <w:jc w:val="center"/>
            </w:pPr>
            <w:r>
              <w:t>0 (Reference)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45D1DF" w14:textId="77777777" w:rsidR="00924B76" w:rsidRPr="003A30C3" w:rsidRDefault="00924B76" w:rsidP="0070192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28.2 (1.12)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1220B" w14:textId="77777777" w:rsidR="00924B76" w:rsidRPr="008D4FE4" w:rsidRDefault="00924B76" w:rsidP="00701929">
            <w:pPr>
              <w:spacing w:line="360" w:lineRule="auto"/>
              <w:jc w:val="center"/>
            </w:pPr>
            <w:r>
              <w:t>0 (Reference)</w:t>
            </w:r>
          </w:p>
        </w:tc>
      </w:tr>
      <w:tr w:rsidR="00924B76" w:rsidRPr="003A30C3" w14:paraId="52BDB1ED" w14:textId="77777777" w:rsidTr="00701929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F5C1C" w14:textId="77777777" w:rsidR="00924B76" w:rsidRPr="003A30C3" w:rsidRDefault="00924B76" w:rsidP="00701929">
            <w:pPr>
              <w:spacing w:line="360" w:lineRule="auto"/>
            </w:pPr>
            <w:r w:rsidRPr="003A30C3">
              <w:t>BLL Quartile 2</w:t>
            </w:r>
          </w:p>
          <w:p w14:paraId="44BD6A13" w14:textId="77777777" w:rsidR="00924B76" w:rsidRPr="008D4FE4" w:rsidRDefault="00924B76" w:rsidP="00701929">
            <w:pPr>
              <w:spacing w:line="360" w:lineRule="auto"/>
            </w:pPr>
            <w:r w:rsidRPr="003A30C3">
              <w:t>(0.71 – 1.09</w:t>
            </w:r>
            <w:r w:rsidRPr="003A30C3">
              <w:rPr>
                <w:color w:val="231F20"/>
              </w:rPr>
              <w:t xml:space="preserve"> </w:t>
            </w:r>
            <w:r w:rsidRPr="003A30C3">
              <w:rPr>
                <w:rFonts w:ascii="Calibri" w:hAnsi="Calibri"/>
                <w:color w:val="231F20"/>
              </w:rPr>
              <w:t>µ</w:t>
            </w:r>
            <w:r w:rsidRPr="003A30C3">
              <w:rPr>
                <w:color w:val="231F20"/>
              </w:rPr>
              <w:t>g/dL)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9B34D1" w14:textId="77777777" w:rsidR="00924B76" w:rsidRPr="003A30C3" w:rsidRDefault="00924B76" w:rsidP="0070192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24.5 (0.47)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460E91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-0.03</w:t>
            </w:r>
            <w:r w:rsidRPr="00585E78">
              <w:rPr>
                <w:rFonts w:ascii="Calibri" w:hAnsi="Calibri"/>
              </w:rPr>
              <w:t xml:space="preserve"> (0.</w:t>
            </w:r>
            <w:r>
              <w:rPr>
                <w:rFonts w:ascii="Calibri" w:hAnsi="Calibri"/>
              </w:rPr>
              <w:t>01</w:t>
            </w:r>
            <w:r w:rsidRPr="00585E78">
              <w:rPr>
                <w:rFonts w:ascii="Calibri" w:hAnsi="Calibri"/>
              </w:rPr>
              <w:t>)</w:t>
            </w:r>
          </w:p>
          <w:p w14:paraId="5CA9A5F1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3A30C3">
              <w:t>p</w:t>
            </w:r>
            <w:r>
              <w:t>≤0.01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500383" w14:textId="77777777" w:rsidR="00924B76" w:rsidRPr="003A30C3" w:rsidRDefault="00924B76" w:rsidP="0070192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22.6 (0.70)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A3A72F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585E78">
              <w:rPr>
                <w:rFonts w:ascii="Calibri" w:hAnsi="Calibri"/>
              </w:rPr>
              <w:t>-0.</w:t>
            </w:r>
            <w:r>
              <w:rPr>
                <w:rFonts w:ascii="Calibri" w:hAnsi="Calibri"/>
              </w:rPr>
              <w:t>02 (0.01</w:t>
            </w:r>
            <w:r w:rsidRPr="00585E78">
              <w:rPr>
                <w:rFonts w:ascii="Calibri" w:hAnsi="Calibri"/>
              </w:rPr>
              <w:t>)</w:t>
            </w:r>
          </w:p>
          <w:p w14:paraId="245193D0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585E78">
              <w:rPr>
                <w:rFonts w:ascii="Calibri" w:hAnsi="Calibri"/>
              </w:rPr>
              <w:t>p=0.0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A04EF4" w14:textId="77777777" w:rsidR="00924B76" w:rsidRPr="003A30C3" w:rsidRDefault="00924B76" w:rsidP="0070192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26.1 (0.63)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01CFEA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585E78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0.03 </w:t>
            </w:r>
            <w:r w:rsidRPr="00585E78">
              <w:rPr>
                <w:rFonts w:ascii="Calibri" w:hAnsi="Calibri"/>
              </w:rPr>
              <w:t>(0.</w:t>
            </w:r>
            <w:r>
              <w:rPr>
                <w:rFonts w:ascii="Calibri" w:hAnsi="Calibri"/>
              </w:rPr>
              <w:t>01</w:t>
            </w:r>
            <w:r w:rsidRPr="00585E78">
              <w:rPr>
                <w:rFonts w:ascii="Calibri" w:hAnsi="Calibri"/>
              </w:rPr>
              <w:t>)</w:t>
            </w:r>
          </w:p>
          <w:p w14:paraId="059225B8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3A30C3">
              <w:t>p</w:t>
            </w:r>
            <w:r>
              <w:t>≤0.01</w:t>
            </w:r>
          </w:p>
        </w:tc>
      </w:tr>
      <w:tr w:rsidR="00924B76" w:rsidRPr="003A30C3" w14:paraId="7439C3C3" w14:textId="77777777" w:rsidTr="00701929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F9FC6" w14:textId="77777777" w:rsidR="00924B76" w:rsidRPr="003A30C3" w:rsidRDefault="00924B76" w:rsidP="00701929">
            <w:pPr>
              <w:spacing w:line="360" w:lineRule="auto"/>
            </w:pPr>
            <w:r w:rsidRPr="003A30C3">
              <w:t>BLL Quartile 3</w:t>
            </w:r>
          </w:p>
          <w:p w14:paraId="39813E21" w14:textId="77777777" w:rsidR="00924B76" w:rsidRPr="008D4FE4" w:rsidRDefault="00924B76" w:rsidP="00701929">
            <w:pPr>
              <w:spacing w:line="360" w:lineRule="auto"/>
              <w:jc w:val="center"/>
            </w:pPr>
            <w:r w:rsidRPr="003A30C3">
              <w:t>(1.10 – 1.60</w:t>
            </w:r>
            <w:r w:rsidRPr="003A30C3">
              <w:rPr>
                <w:color w:val="231F20"/>
              </w:rPr>
              <w:t xml:space="preserve"> </w:t>
            </w:r>
            <w:r w:rsidRPr="003A30C3">
              <w:rPr>
                <w:rFonts w:ascii="Calibri" w:hAnsi="Calibri"/>
                <w:color w:val="231F20"/>
              </w:rPr>
              <w:t>µ</w:t>
            </w:r>
            <w:r w:rsidRPr="003A30C3">
              <w:rPr>
                <w:color w:val="231F20"/>
              </w:rPr>
              <w:t>g/dL)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9519B" w14:textId="77777777" w:rsidR="00924B76" w:rsidRPr="003A30C3" w:rsidRDefault="00924B76" w:rsidP="0070192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 (0.55)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FC6413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585E78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0.04</w:t>
            </w:r>
            <w:r w:rsidRPr="00585E78">
              <w:rPr>
                <w:rFonts w:ascii="Calibri" w:hAnsi="Calibri"/>
              </w:rPr>
              <w:t xml:space="preserve"> (0.</w:t>
            </w:r>
            <w:r>
              <w:rPr>
                <w:rFonts w:ascii="Calibri" w:hAnsi="Calibri"/>
              </w:rPr>
              <w:t>01</w:t>
            </w:r>
            <w:r w:rsidRPr="00585E78">
              <w:rPr>
                <w:rFonts w:ascii="Calibri" w:hAnsi="Calibri"/>
              </w:rPr>
              <w:t>)</w:t>
            </w:r>
          </w:p>
          <w:p w14:paraId="589812A7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3A30C3">
              <w:t>p</w:t>
            </w:r>
            <w:r>
              <w:t>≤0.01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108422" w14:textId="77777777" w:rsidR="00924B76" w:rsidRPr="003A30C3" w:rsidRDefault="00924B76" w:rsidP="0070192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26.9 (0.66)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A9E2AB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-0.04</w:t>
            </w:r>
            <w:r w:rsidRPr="00585E78">
              <w:rPr>
                <w:rFonts w:ascii="Calibri" w:hAnsi="Calibri"/>
              </w:rPr>
              <w:t xml:space="preserve"> (0.</w:t>
            </w:r>
            <w:r>
              <w:rPr>
                <w:rFonts w:ascii="Calibri" w:hAnsi="Calibri"/>
              </w:rPr>
              <w:t>01</w:t>
            </w:r>
            <w:r w:rsidRPr="00585E78">
              <w:rPr>
                <w:rFonts w:ascii="Calibri" w:hAnsi="Calibri"/>
              </w:rPr>
              <w:t>)</w:t>
            </w:r>
          </w:p>
          <w:p w14:paraId="59699D8D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3A30C3">
              <w:t>p</w:t>
            </w:r>
            <w:r>
              <w:t>≤0.01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CE057C" w14:textId="77777777" w:rsidR="00924B76" w:rsidRPr="003A30C3" w:rsidRDefault="00924B76" w:rsidP="0070192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23.2 (0.82)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B54907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585E78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0.04</w:t>
            </w:r>
            <w:r w:rsidRPr="00585E78">
              <w:rPr>
                <w:rFonts w:ascii="Calibri" w:hAnsi="Calibri"/>
              </w:rPr>
              <w:t xml:space="preserve"> (0.</w:t>
            </w:r>
            <w:r>
              <w:rPr>
                <w:rFonts w:ascii="Calibri" w:hAnsi="Calibri"/>
              </w:rPr>
              <w:t>01</w:t>
            </w:r>
            <w:r w:rsidRPr="00585E78">
              <w:rPr>
                <w:rFonts w:ascii="Calibri" w:hAnsi="Calibri"/>
              </w:rPr>
              <w:t>)</w:t>
            </w:r>
          </w:p>
          <w:p w14:paraId="32BF695C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3A30C3">
              <w:t>p</w:t>
            </w:r>
            <w:r>
              <w:t>≤0.01</w:t>
            </w:r>
          </w:p>
        </w:tc>
      </w:tr>
      <w:tr w:rsidR="00924B76" w:rsidRPr="003A30C3" w14:paraId="58DC9CDE" w14:textId="77777777" w:rsidTr="00701929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180BC5" w14:textId="77777777" w:rsidR="00924B76" w:rsidRPr="003A30C3" w:rsidRDefault="00924B76" w:rsidP="00701929">
            <w:pPr>
              <w:spacing w:line="360" w:lineRule="auto"/>
            </w:pPr>
            <w:r w:rsidRPr="003A30C3">
              <w:t>BLL Quartile 4</w:t>
            </w:r>
          </w:p>
          <w:p w14:paraId="20886F31" w14:textId="77777777" w:rsidR="00924B76" w:rsidRPr="008D4FE4" w:rsidRDefault="00924B76" w:rsidP="00701929">
            <w:pPr>
              <w:spacing w:line="360" w:lineRule="auto"/>
              <w:jc w:val="center"/>
            </w:pPr>
            <w:r w:rsidRPr="003A30C3">
              <w:t>(≥1.61</w:t>
            </w:r>
            <w:r w:rsidRPr="003A30C3">
              <w:rPr>
                <w:color w:val="231F20"/>
              </w:rPr>
              <w:t xml:space="preserve"> </w:t>
            </w:r>
            <w:r w:rsidRPr="003A30C3">
              <w:rPr>
                <w:rFonts w:ascii="Calibri" w:hAnsi="Calibri"/>
                <w:color w:val="231F20"/>
              </w:rPr>
              <w:t>µ</w:t>
            </w:r>
            <w:r w:rsidRPr="003A30C3">
              <w:rPr>
                <w:color w:val="231F20"/>
              </w:rPr>
              <w:t>g/dL)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1E707C" w14:textId="77777777" w:rsidR="00924B76" w:rsidRPr="003A30C3" w:rsidRDefault="00924B76" w:rsidP="0070192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25.5 (0.54)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CE1C0B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585E78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0.08</w:t>
            </w:r>
            <w:r w:rsidRPr="00585E78">
              <w:rPr>
                <w:rFonts w:ascii="Calibri" w:hAnsi="Calibri"/>
              </w:rPr>
              <w:t xml:space="preserve"> (0.</w:t>
            </w:r>
            <w:r>
              <w:rPr>
                <w:rFonts w:ascii="Calibri" w:hAnsi="Calibri"/>
              </w:rPr>
              <w:t>01</w:t>
            </w:r>
            <w:r w:rsidRPr="00585E78">
              <w:rPr>
                <w:rFonts w:ascii="Calibri" w:hAnsi="Calibri"/>
              </w:rPr>
              <w:t>)</w:t>
            </w:r>
          </w:p>
          <w:p w14:paraId="1516810E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3A30C3">
              <w:t>p</w:t>
            </w:r>
            <w:r>
              <w:t>≤0.01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61AC43" w14:textId="77777777" w:rsidR="00924B76" w:rsidRPr="003A30C3" w:rsidRDefault="00924B76" w:rsidP="0070192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28.7 (0.69)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1A4655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585E78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0.08</w:t>
            </w:r>
            <w:r w:rsidRPr="00585E78">
              <w:rPr>
                <w:rFonts w:ascii="Calibri" w:hAnsi="Calibri"/>
              </w:rPr>
              <w:t xml:space="preserve"> (0.</w:t>
            </w:r>
            <w:r>
              <w:rPr>
                <w:rFonts w:ascii="Calibri" w:hAnsi="Calibri"/>
              </w:rPr>
              <w:t>01</w:t>
            </w:r>
            <w:r w:rsidRPr="00585E78">
              <w:rPr>
                <w:rFonts w:ascii="Calibri" w:hAnsi="Calibri"/>
              </w:rPr>
              <w:t>)</w:t>
            </w:r>
          </w:p>
          <w:p w14:paraId="4408E300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3A30C3">
              <w:t>p</w:t>
            </w:r>
            <w:r>
              <w:t>≤0.01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F952B7" w14:textId="77777777" w:rsidR="00924B76" w:rsidRPr="003A30C3" w:rsidRDefault="00924B76" w:rsidP="0070192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22.5 (0.84)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E6F68C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585E78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0.08</w:t>
            </w:r>
            <w:r w:rsidRPr="00585E78">
              <w:rPr>
                <w:rFonts w:ascii="Calibri" w:hAnsi="Calibri"/>
              </w:rPr>
              <w:t xml:space="preserve"> (0.</w:t>
            </w:r>
            <w:r>
              <w:rPr>
                <w:rFonts w:ascii="Calibri" w:hAnsi="Calibri"/>
              </w:rPr>
              <w:t>01</w:t>
            </w:r>
            <w:r w:rsidRPr="00585E78">
              <w:rPr>
                <w:rFonts w:ascii="Calibri" w:hAnsi="Calibri"/>
              </w:rPr>
              <w:t>)</w:t>
            </w:r>
          </w:p>
          <w:p w14:paraId="6D8D17F2" w14:textId="77777777" w:rsidR="00924B76" w:rsidRPr="00585E78" w:rsidRDefault="00924B76" w:rsidP="00701929">
            <w:pPr>
              <w:spacing w:line="360" w:lineRule="auto"/>
              <w:jc w:val="center"/>
              <w:rPr>
                <w:rFonts w:ascii="Calibri" w:hAnsi="Calibri"/>
              </w:rPr>
            </w:pPr>
            <w:r w:rsidRPr="003A30C3">
              <w:t>p</w:t>
            </w:r>
            <w:r>
              <w:t>≤0.01</w:t>
            </w:r>
          </w:p>
        </w:tc>
      </w:tr>
      <w:tr w:rsidR="00924B76" w:rsidRPr="003A30C3" w14:paraId="48F02F0A" w14:textId="77777777" w:rsidTr="00701929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7AD787" w14:textId="77777777" w:rsidR="00924B76" w:rsidRPr="003A30C3" w:rsidRDefault="00924B76" w:rsidP="00701929">
            <w:pPr>
              <w:spacing w:line="360" w:lineRule="auto"/>
            </w:pPr>
            <w:r w:rsidRPr="00C3084E">
              <w:rPr>
                <w:i/>
              </w:rPr>
              <w:t>p</w:t>
            </w:r>
            <w:r>
              <w:t xml:space="preserve"> t</w:t>
            </w:r>
            <w:r w:rsidRPr="003A30C3">
              <w:t>rend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AB1894" w14:textId="77777777" w:rsidR="00924B76" w:rsidRPr="003A30C3" w:rsidRDefault="00924B76" w:rsidP="00701929">
            <w:pPr>
              <w:spacing w:line="360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DACAFF" w14:textId="77777777" w:rsidR="00924B76" w:rsidRPr="003A30C3" w:rsidRDefault="00924B76" w:rsidP="00701929">
            <w:pPr>
              <w:spacing w:line="360" w:lineRule="auto"/>
              <w:jc w:val="center"/>
            </w:pPr>
            <w:r w:rsidRPr="003A30C3">
              <w:t>p</w:t>
            </w:r>
            <w:r>
              <w:t>≤0.01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AA5B52" w14:textId="77777777" w:rsidR="00924B76" w:rsidRPr="003A30C3" w:rsidRDefault="00924B76" w:rsidP="00701929">
            <w:pPr>
              <w:spacing w:line="360" w:lineRule="auto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E4BF3" w14:textId="77777777" w:rsidR="00924B76" w:rsidRPr="008D4FE4" w:rsidRDefault="00924B76" w:rsidP="00701929">
            <w:pPr>
              <w:spacing w:line="360" w:lineRule="auto"/>
              <w:jc w:val="center"/>
            </w:pPr>
            <w:r w:rsidRPr="003A30C3">
              <w:t>p</w:t>
            </w:r>
            <w:r>
              <w:t>≤0.01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4B087" w14:textId="77777777" w:rsidR="00924B76" w:rsidRPr="008D4FE4" w:rsidRDefault="00924B76" w:rsidP="00701929">
            <w:pPr>
              <w:spacing w:line="36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4D946" w14:textId="77777777" w:rsidR="00924B76" w:rsidRPr="008D4FE4" w:rsidRDefault="00924B76" w:rsidP="00701929">
            <w:pPr>
              <w:spacing w:line="360" w:lineRule="auto"/>
              <w:jc w:val="center"/>
            </w:pPr>
            <w:r w:rsidRPr="003A30C3">
              <w:t>p</w:t>
            </w:r>
            <w:r>
              <w:t>≤0.01</w:t>
            </w:r>
          </w:p>
        </w:tc>
      </w:tr>
    </w:tbl>
    <w:p w14:paraId="41497FF4" w14:textId="77777777" w:rsidR="00924B76" w:rsidRDefault="00924B76" w:rsidP="00924B76">
      <w:pPr>
        <w:autoSpaceDE w:val="0"/>
        <w:autoSpaceDN w:val="0"/>
        <w:adjustRightInd w:val="0"/>
        <w:spacing w:line="360" w:lineRule="auto"/>
        <w:rPr>
          <w:b/>
          <w:color w:val="000000" w:themeColor="text1"/>
        </w:rPr>
      </w:pPr>
    </w:p>
    <w:p w14:paraId="3BBE8E01" w14:textId="77777777" w:rsidR="00924B76" w:rsidRDefault="00924B76" w:rsidP="00924B76">
      <w:pPr>
        <w:autoSpaceDE w:val="0"/>
        <w:autoSpaceDN w:val="0"/>
        <w:adjustRightInd w:val="0"/>
        <w:spacing w:line="360" w:lineRule="auto"/>
        <w:rPr>
          <w:b/>
          <w:color w:val="000000" w:themeColor="text1"/>
        </w:rPr>
        <w:sectPr w:rsidR="00924B76" w:rsidSect="00924B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185A9874" w14:textId="77777777" w:rsidR="00924B76" w:rsidRDefault="00924B76" w:rsidP="00924B76">
      <w:pPr>
        <w:autoSpaceDE w:val="0"/>
        <w:autoSpaceDN w:val="0"/>
        <w:adjustRightInd w:val="0"/>
        <w:spacing w:line="360" w:lineRule="auto"/>
        <w:rPr>
          <w:b/>
          <w:color w:val="000000" w:themeColor="text1"/>
        </w:rPr>
      </w:pPr>
    </w:p>
    <w:p w14:paraId="669756AE" w14:textId="77777777" w:rsidR="00924B76" w:rsidRDefault="00924B76" w:rsidP="00924B76"/>
    <w:p w14:paraId="56E5486C" w14:textId="77777777" w:rsidR="00924B76" w:rsidRDefault="00924B76" w:rsidP="00924B76"/>
    <w:p w14:paraId="351830B3" w14:textId="77777777" w:rsidR="00924B76" w:rsidRDefault="00924B76" w:rsidP="00924B76"/>
    <w:p w14:paraId="7C111838" w14:textId="77777777" w:rsidR="00C85850" w:rsidRPr="003362DF" w:rsidRDefault="00C85850" w:rsidP="00C85850">
      <w:pPr>
        <w:spacing w:line="480" w:lineRule="auto"/>
      </w:pPr>
      <w:r w:rsidRPr="003362DF">
        <w:t>Supplement Figure Legend.</w:t>
      </w:r>
    </w:p>
    <w:p w14:paraId="36DB0A57" w14:textId="77777777" w:rsidR="00C85850" w:rsidRPr="003362DF" w:rsidRDefault="00C85850" w:rsidP="00C85850">
      <w:pPr>
        <w:spacing w:line="480" w:lineRule="auto"/>
        <w:rPr>
          <w:bCs/>
        </w:rPr>
      </w:pPr>
      <w:r w:rsidRPr="003362DF">
        <w:t xml:space="preserve">Supplement Figure 1. Dose-response association between BMI Z score and blood lead in children and adolescents </w:t>
      </w:r>
      <w:r w:rsidRPr="00CA726E">
        <w:rPr>
          <w:color w:val="000000" w:themeColor="text1"/>
        </w:rPr>
        <w:t>adjusted for age, gender, race/ethnicity, hematocrit, Calorie intake, TV and video game use, serum cotinine, Poverty Income Ratio</w:t>
      </w:r>
      <w:r w:rsidRPr="003362DF">
        <w:t xml:space="preserve">. A solid line shows dose-response curve between blood lead and BMI Z-score </w:t>
      </w:r>
      <w:r w:rsidRPr="00CA726E">
        <w:rPr>
          <w:color w:val="000000" w:themeColor="text1"/>
        </w:rPr>
        <w:t>in NHANES 1999-2002 (Figure 1</w:t>
      </w:r>
      <w:r w:rsidR="00A32136">
        <w:rPr>
          <w:color w:val="000000" w:themeColor="text1"/>
        </w:rPr>
        <w:t>a</w:t>
      </w:r>
      <w:r w:rsidRPr="00CA726E">
        <w:rPr>
          <w:color w:val="000000" w:themeColor="text1"/>
        </w:rPr>
        <w:t>) and in NHANES 2003-2006 (Figure 1</w:t>
      </w:r>
      <w:r w:rsidR="00A32136">
        <w:rPr>
          <w:color w:val="000000" w:themeColor="text1"/>
        </w:rPr>
        <w:t>b</w:t>
      </w:r>
      <w:r w:rsidRPr="00CA726E">
        <w:rPr>
          <w:color w:val="000000" w:themeColor="text1"/>
        </w:rPr>
        <w:t>).</w:t>
      </w:r>
      <w:r w:rsidRPr="003362DF">
        <w:t xml:space="preserve">  </w:t>
      </w:r>
      <w:r w:rsidRPr="003362DF">
        <w:rPr>
          <w:i/>
          <w:iCs/>
        </w:rPr>
        <w:t>Y</w:t>
      </w:r>
      <w:r w:rsidRPr="003362DF">
        <w:t xml:space="preserve">-axis represents the difference in BMI Z-score between individuals with any value of blood lead with individuals with 0.7 </w:t>
      </w:r>
      <w:r w:rsidRPr="003362DF">
        <w:rPr>
          <w:rFonts w:ascii="Symbol" w:hAnsi="Symbol"/>
        </w:rPr>
        <w:t></w:t>
      </w:r>
      <w:r w:rsidRPr="003362DF">
        <w:t>g/dL of blood lead.</w:t>
      </w:r>
      <w:r>
        <w:t xml:space="preserve"> </w:t>
      </w:r>
      <w:r w:rsidRPr="003362DF">
        <w:t>The dashed lines represent the 95% confidence of interval. Knots are represented by dots.</w:t>
      </w:r>
      <w:r w:rsidRPr="003362DF">
        <w:rPr>
          <w:bCs/>
        </w:rPr>
        <w:t xml:space="preserve"> </w:t>
      </w:r>
    </w:p>
    <w:p w14:paraId="0C2877F6" w14:textId="77777777" w:rsidR="00C85850" w:rsidRPr="003362DF" w:rsidRDefault="00C85850" w:rsidP="00C85850">
      <w:pPr>
        <w:spacing w:before="120" w:after="120" w:line="480" w:lineRule="auto"/>
      </w:pPr>
      <w:r w:rsidRPr="003362DF">
        <w:t xml:space="preserve">Supplement Figure 2. </w:t>
      </w:r>
    </w:p>
    <w:p w14:paraId="078ECF5E" w14:textId="77777777" w:rsidR="00C85850" w:rsidRPr="003362DF" w:rsidRDefault="00C85850" w:rsidP="00C85850">
      <w:pPr>
        <w:spacing w:before="120" w:after="120" w:line="480" w:lineRule="auto"/>
      </w:pPr>
    </w:p>
    <w:p w14:paraId="0CB60911" w14:textId="77777777" w:rsidR="00C85850" w:rsidRPr="003362DF" w:rsidRDefault="00C85850" w:rsidP="00C85850">
      <w:pPr>
        <w:spacing w:line="480" w:lineRule="auto"/>
        <w:rPr>
          <w:bCs/>
        </w:rPr>
      </w:pPr>
      <w:r w:rsidRPr="003362DF">
        <w:t xml:space="preserve">Dose-response association between obesity and blood lead in children and adolescents </w:t>
      </w:r>
      <w:r w:rsidRPr="00CA726E">
        <w:rPr>
          <w:color w:val="000000" w:themeColor="text1"/>
        </w:rPr>
        <w:t>adjusted for age, gender, race/ethnicity, hematocrit, Calorie intake, TV and video game use, Serum cotinine, Poverty Income Ratio</w:t>
      </w:r>
      <w:r w:rsidRPr="003362DF">
        <w:t xml:space="preserve">. A solid line shows dose-response curve between obesity and blood lead </w:t>
      </w:r>
      <w:r w:rsidRPr="00CA726E">
        <w:rPr>
          <w:color w:val="000000" w:themeColor="text1"/>
        </w:rPr>
        <w:t>in NHANES 1999-2006 (Figure 2a), in NHANES 1999-2002 (Figure 2b) and in NHANES 2003-2006 (Figure 2c).</w:t>
      </w:r>
      <w:r w:rsidRPr="003362DF">
        <w:t xml:space="preserve">  </w:t>
      </w:r>
      <w:r w:rsidRPr="003362DF">
        <w:rPr>
          <w:i/>
          <w:iCs/>
        </w:rPr>
        <w:t>Y</w:t>
      </w:r>
      <w:r w:rsidRPr="003362DF">
        <w:t xml:space="preserve">-axis represents the OR to have obesity between individuals with any value of blood lead compared to individuals with 0.7 </w:t>
      </w:r>
      <w:r w:rsidRPr="003362DF">
        <w:rPr>
          <w:rFonts w:ascii="Symbol" w:hAnsi="Symbol"/>
        </w:rPr>
        <w:t></w:t>
      </w:r>
      <w:r w:rsidRPr="003362DF">
        <w:t>g/dL of blood lead. The dashed lines represent the 95% confidence of interval. Knots are represented by dots.</w:t>
      </w:r>
      <w:r w:rsidRPr="003362DF">
        <w:rPr>
          <w:bCs/>
        </w:rPr>
        <w:t xml:space="preserve"> </w:t>
      </w:r>
    </w:p>
    <w:p w14:paraId="3E868254" w14:textId="77777777" w:rsidR="00C85850" w:rsidRPr="003362DF" w:rsidRDefault="00C85850" w:rsidP="00C85850">
      <w:pPr>
        <w:spacing w:line="480" w:lineRule="auto"/>
        <w:rPr>
          <w:bCs/>
        </w:rPr>
      </w:pPr>
    </w:p>
    <w:p w14:paraId="4942B059" w14:textId="77777777" w:rsidR="00C85850" w:rsidRPr="003362DF" w:rsidRDefault="00C85850" w:rsidP="00C85850">
      <w:pPr>
        <w:spacing w:line="480" w:lineRule="auto"/>
      </w:pPr>
      <w:r w:rsidRPr="003362DF">
        <w:t xml:space="preserve">Supplement Figure 3. </w:t>
      </w:r>
    </w:p>
    <w:p w14:paraId="1E742C63" w14:textId="77777777" w:rsidR="00C85850" w:rsidRPr="00CA726E" w:rsidRDefault="00C85850" w:rsidP="00C85850">
      <w:pPr>
        <w:spacing w:before="120" w:after="120" w:line="480" w:lineRule="auto"/>
        <w:rPr>
          <w:color w:val="000000" w:themeColor="text1"/>
        </w:rPr>
      </w:pPr>
      <w:r w:rsidRPr="003362DF">
        <w:t xml:space="preserve">Dose-response association between BMI and blood lead in adults </w:t>
      </w:r>
      <w:r w:rsidRPr="00CA726E">
        <w:rPr>
          <w:color w:val="000000" w:themeColor="text1"/>
        </w:rPr>
        <w:t xml:space="preserve">adjusted for race/ethnicity, gender, age, Hematocrit, smoking status, serum cotinine, alcohol consumption, education, caloric intake and </w:t>
      </w:r>
      <w:r w:rsidRPr="00CA726E">
        <w:rPr>
          <w:color w:val="000000" w:themeColor="text1"/>
        </w:rPr>
        <w:lastRenderedPageBreak/>
        <w:t xml:space="preserve">moderate and vigorous activity covariates. </w:t>
      </w:r>
      <w:r w:rsidRPr="003362DF">
        <w:t>A solid line shows dose-response curve between blood lead and BMI</w:t>
      </w:r>
      <w:r w:rsidRPr="00CA726E">
        <w:rPr>
          <w:color w:val="000000" w:themeColor="text1"/>
        </w:rPr>
        <w:t xml:space="preserve">, in NHANES 1999-2002 (Figure </w:t>
      </w:r>
      <w:r w:rsidR="00A32136">
        <w:rPr>
          <w:color w:val="000000" w:themeColor="text1"/>
        </w:rPr>
        <w:t>3a</w:t>
      </w:r>
      <w:r w:rsidRPr="00CA726E">
        <w:rPr>
          <w:color w:val="000000" w:themeColor="text1"/>
        </w:rPr>
        <w:t xml:space="preserve">) and in NHANES 2003-2006 (Figure </w:t>
      </w:r>
      <w:r w:rsidR="00A32136">
        <w:rPr>
          <w:color w:val="000000" w:themeColor="text1"/>
        </w:rPr>
        <w:t>3b</w:t>
      </w:r>
      <w:r w:rsidRPr="00CA726E">
        <w:rPr>
          <w:color w:val="000000" w:themeColor="text1"/>
        </w:rPr>
        <w:t>).</w:t>
      </w:r>
      <w:r w:rsidRPr="003362DF">
        <w:t xml:space="preserve"> </w:t>
      </w:r>
      <w:r w:rsidRPr="003362DF">
        <w:rPr>
          <w:i/>
          <w:iCs/>
        </w:rPr>
        <w:t>Y</w:t>
      </w:r>
      <w:r w:rsidRPr="003362DF">
        <w:t xml:space="preserve">-axis represents the difference in BMI between individuals with any value of blood lead with individuals with 1.0 </w:t>
      </w:r>
      <w:r w:rsidRPr="003362DF">
        <w:rPr>
          <w:rFonts w:ascii="Symbol" w:hAnsi="Symbol"/>
        </w:rPr>
        <w:t></w:t>
      </w:r>
      <w:r w:rsidRPr="003362DF">
        <w:t>g/dL of blood lead. The dashed lines represent the 95% confidence of interval. Knots are represented by dots.</w:t>
      </w:r>
      <w:r w:rsidRPr="003362DF">
        <w:rPr>
          <w:bCs/>
        </w:rPr>
        <w:t xml:space="preserve"> </w:t>
      </w:r>
    </w:p>
    <w:p w14:paraId="69D79493" w14:textId="77777777" w:rsidR="00C85850" w:rsidRPr="003362DF" w:rsidRDefault="00C85850" w:rsidP="00C85850">
      <w:pPr>
        <w:spacing w:line="480" w:lineRule="auto"/>
        <w:rPr>
          <w:bCs/>
        </w:rPr>
      </w:pPr>
    </w:p>
    <w:p w14:paraId="0E6BB79A" w14:textId="77777777" w:rsidR="00C85850" w:rsidRPr="00CA726E" w:rsidRDefault="00C85850" w:rsidP="00C85850">
      <w:pPr>
        <w:spacing w:before="120" w:after="120" w:line="480" w:lineRule="auto"/>
        <w:rPr>
          <w:color w:val="000000" w:themeColor="text1"/>
        </w:rPr>
      </w:pPr>
      <w:r w:rsidRPr="003362DF">
        <w:t xml:space="preserve">Supplement Figure 4. Dose-response association between obesity and blood lead in adults </w:t>
      </w:r>
      <w:r w:rsidRPr="00CA726E">
        <w:rPr>
          <w:color w:val="000000" w:themeColor="text1"/>
        </w:rPr>
        <w:t xml:space="preserve">adjusted for race/ethnicity, gender, age, hematocrit, smoking status, serum cotinine, alcohol consumption, education, caloric intake and moderate and vigorous activity covariates. </w:t>
      </w:r>
      <w:r w:rsidRPr="003362DF">
        <w:t xml:space="preserve">A solid line shows dose-response curve between obesity and  blood lead </w:t>
      </w:r>
      <w:r w:rsidRPr="00CA726E">
        <w:rPr>
          <w:color w:val="000000" w:themeColor="text1"/>
        </w:rPr>
        <w:t>in NHANES 1999-2006 (Figure 4a), in NHANES 1999-2002 (Figure 4b) and in NHANES 2003-2006 (Figure 4c)</w:t>
      </w:r>
      <w:r w:rsidRPr="003362DF">
        <w:t xml:space="preserve">.  </w:t>
      </w:r>
      <w:r w:rsidRPr="003362DF">
        <w:rPr>
          <w:i/>
          <w:iCs/>
        </w:rPr>
        <w:t>Y</w:t>
      </w:r>
      <w:r w:rsidRPr="003362DF">
        <w:t xml:space="preserve">-axis represents the OR to have obesity between individuals with any value of blood lead compared to  individuals with 1.0 </w:t>
      </w:r>
      <w:r w:rsidRPr="003362DF">
        <w:rPr>
          <w:rFonts w:ascii="Symbol" w:hAnsi="Symbol"/>
        </w:rPr>
        <w:t></w:t>
      </w:r>
      <w:r w:rsidRPr="003362DF">
        <w:t>g/dL of blood lead</w:t>
      </w:r>
      <w:r>
        <w:t xml:space="preserve">. </w:t>
      </w:r>
      <w:r w:rsidRPr="003362DF">
        <w:t>The dashed lines represent the 95% confidence of interval. Knots are represented by dots.</w:t>
      </w:r>
      <w:r w:rsidRPr="003362DF">
        <w:rPr>
          <w:bCs/>
        </w:rPr>
        <w:t xml:space="preserve"> </w:t>
      </w:r>
    </w:p>
    <w:p w14:paraId="556F4D82" w14:textId="77777777" w:rsidR="00C85850" w:rsidRPr="00CA726E" w:rsidRDefault="00C85850" w:rsidP="00C85850">
      <w:pPr>
        <w:rPr>
          <w:color w:val="000000" w:themeColor="text1"/>
        </w:rPr>
      </w:pPr>
    </w:p>
    <w:p w14:paraId="29FD67C5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7982A77C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246045B9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Figure 1</w:t>
      </w:r>
      <w:r w:rsidR="00A32136">
        <w:rPr>
          <w:color w:val="000000" w:themeColor="text1"/>
        </w:rPr>
        <w:t>a</w:t>
      </w:r>
    </w:p>
    <w:p w14:paraId="1C5F7F7C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16AA7125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23C35BA7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 w:rsidRPr="00CA726E">
        <w:rPr>
          <w:noProof/>
          <w:color w:val="000000" w:themeColor="text1"/>
        </w:rPr>
        <w:lastRenderedPageBreak/>
        <w:drawing>
          <wp:inline distT="0" distB="0" distL="0" distR="0" wp14:anchorId="05C09B90" wp14:editId="491C919E">
            <wp:extent cx="5943600" cy="3108960"/>
            <wp:effectExtent l="0" t="0" r="0" b="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FECE3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Figure 1</w:t>
      </w:r>
      <w:r w:rsidR="00A32136">
        <w:rPr>
          <w:color w:val="000000" w:themeColor="text1"/>
        </w:rPr>
        <w:t>b</w:t>
      </w:r>
    </w:p>
    <w:p w14:paraId="4A4F846D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 w:rsidRPr="00CA726E">
        <w:rPr>
          <w:noProof/>
          <w:color w:val="000000" w:themeColor="text1"/>
        </w:rPr>
        <w:drawing>
          <wp:inline distT="0" distB="0" distL="0" distR="0" wp14:anchorId="680B3DFA" wp14:editId="12558906">
            <wp:extent cx="5943600" cy="3108960"/>
            <wp:effectExtent l="0" t="0" r="0" b="0"/>
            <wp:docPr id="1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19C5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Figure 2a</w:t>
      </w:r>
    </w:p>
    <w:p w14:paraId="5121820B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 w:rsidRPr="00CA726E">
        <w:rPr>
          <w:noProof/>
          <w:color w:val="000000" w:themeColor="text1"/>
        </w:rPr>
        <w:lastRenderedPageBreak/>
        <w:drawing>
          <wp:inline distT="0" distB="0" distL="0" distR="0" wp14:anchorId="76765F8D" wp14:editId="363CA327">
            <wp:extent cx="5943600" cy="3108960"/>
            <wp:effectExtent l="0" t="0" r="0" b="0"/>
            <wp:docPr id="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6B3EB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03B102A3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Figure 2b</w:t>
      </w:r>
    </w:p>
    <w:p w14:paraId="38BEC689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 w:rsidRPr="00CA726E">
        <w:rPr>
          <w:noProof/>
          <w:color w:val="000000" w:themeColor="text1"/>
        </w:rPr>
        <w:drawing>
          <wp:inline distT="0" distB="0" distL="0" distR="0" wp14:anchorId="4F4BDD9E" wp14:editId="2C81D70F">
            <wp:extent cx="5943600" cy="3108960"/>
            <wp:effectExtent l="0" t="0" r="0" b="0"/>
            <wp:docPr id="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34CC4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0A34AA43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21748284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0DBFC1F2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Figure 2c</w:t>
      </w:r>
    </w:p>
    <w:p w14:paraId="1080190A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1D4D49FC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 w:rsidRPr="00CA726E">
        <w:rPr>
          <w:noProof/>
          <w:color w:val="000000" w:themeColor="text1"/>
        </w:rPr>
        <w:drawing>
          <wp:inline distT="0" distB="0" distL="0" distR="0" wp14:anchorId="0C241A11" wp14:editId="6008B9D1">
            <wp:extent cx="5943600" cy="3108960"/>
            <wp:effectExtent l="0" t="0" r="0" b="0"/>
            <wp:docPr id="1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089C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03832E21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5A8D5937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7BA479C7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6FE0CF96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1E8896EB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79127EB9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Figure 3</w:t>
      </w:r>
      <w:r w:rsidR="0061096B">
        <w:rPr>
          <w:color w:val="000000" w:themeColor="text1"/>
        </w:rPr>
        <w:t>a</w:t>
      </w:r>
    </w:p>
    <w:p w14:paraId="559478BD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3BE8DC7A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 w:rsidRPr="00CA726E">
        <w:rPr>
          <w:noProof/>
          <w:color w:val="000000" w:themeColor="text1"/>
        </w:rPr>
        <w:lastRenderedPageBreak/>
        <w:drawing>
          <wp:inline distT="0" distB="0" distL="0" distR="0" wp14:anchorId="49CD773E" wp14:editId="6A646A13">
            <wp:extent cx="5943600" cy="3108960"/>
            <wp:effectExtent l="0" t="0" r="0" b="0"/>
            <wp:docPr id="3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F0AC9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2C2DB263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7021530F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Figure 3</w:t>
      </w:r>
      <w:r w:rsidR="0061096B">
        <w:rPr>
          <w:color w:val="000000" w:themeColor="text1"/>
        </w:rPr>
        <w:t>b</w:t>
      </w:r>
    </w:p>
    <w:p w14:paraId="497C5126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4141EB75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 w:rsidRPr="00CA726E">
        <w:rPr>
          <w:noProof/>
          <w:color w:val="000000" w:themeColor="text1"/>
        </w:rPr>
        <w:drawing>
          <wp:inline distT="0" distB="0" distL="0" distR="0" wp14:anchorId="294651F7" wp14:editId="09C33C43">
            <wp:extent cx="5943600" cy="3108960"/>
            <wp:effectExtent l="0" t="0" r="0" b="0"/>
            <wp:docPr id="5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2BA61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32E4CAAB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0E3FDB24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lastRenderedPageBreak/>
        <w:t>Figure 4a</w:t>
      </w:r>
    </w:p>
    <w:p w14:paraId="42C69F76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 w:rsidRPr="00CA726E">
        <w:rPr>
          <w:noProof/>
          <w:color w:val="000000" w:themeColor="text1"/>
        </w:rPr>
        <w:drawing>
          <wp:inline distT="0" distB="0" distL="0" distR="0" wp14:anchorId="21EB8D6A" wp14:editId="649CE263">
            <wp:extent cx="5943600" cy="3108960"/>
            <wp:effectExtent l="0" t="0" r="0" b="0"/>
            <wp:docPr id="10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5239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30BF452D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Figure 4b</w:t>
      </w:r>
    </w:p>
    <w:p w14:paraId="34CD9B7A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 w:rsidRPr="00CA726E">
        <w:rPr>
          <w:noProof/>
          <w:color w:val="000000" w:themeColor="text1"/>
        </w:rPr>
        <w:drawing>
          <wp:inline distT="0" distB="0" distL="0" distR="0" wp14:anchorId="71A5E9B8" wp14:editId="05043E6B">
            <wp:extent cx="5943600" cy="3108960"/>
            <wp:effectExtent l="0" t="0" r="0" b="0"/>
            <wp:docPr id="15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5FC7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Figure 4c</w:t>
      </w:r>
    </w:p>
    <w:p w14:paraId="77B12191" w14:textId="77777777" w:rsidR="00C85850" w:rsidRDefault="00C85850" w:rsidP="00C85850">
      <w:pPr>
        <w:spacing w:after="200" w:line="276" w:lineRule="auto"/>
        <w:rPr>
          <w:color w:val="000000" w:themeColor="text1"/>
        </w:rPr>
      </w:pPr>
      <w:r w:rsidRPr="00CA726E">
        <w:rPr>
          <w:noProof/>
          <w:color w:val="000000" w:themeColor="text1"/>
        </w:rPr>
        <w:lastRenderedPageBreak/>
        <w:drawing>
          <wp:inline distT="0" distB="0" distL="0" distR="0" wp14:anchorId="0EDB4B0B" wp14:editId="0DDA9301">
            <wp:extent cx="5943600" cy="3108960"/>
            <wp:effectExtent l="0" t="0" r="0" b="0"/>
            <wp:docPr id="12" name="Content Placeholder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/>
                    <pic:cNvPicPr>
                      <a:picLocks noGrp="1"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1B46E" w14:textId="77777777" w:rsidR="00C85850" w:rsidRDefault="00C85850" w:rsidP="00C85850">
      <w:pPr>
        <w:spacing w:after="200" w:line="276" w:lineRule="auto"/>
        <w:rPr>
          <w:color w:val="000000" w:themeColor="text1"/>
        </w:rPr>
      </w:pPr>
    </w:p>
    <w:p w14:paraId="7C53CA6E" w14:textId="77777777" w:rsidR="00C85850" w:rsidRPr="008D706C" w:rsidRDefault="00C85850" w:rsidP="00C85850">
      <w:pPr>
        <w:spacing w:after="200" w:line="276" w:lineRule="auto"/>
        <w:rPr>
          <w:color w:val="000000" w:themeColor="text1"/>
        </w:rPr>
      </w:pPr>
    </w:p>
    <w:p w14:paraId="3589E26F" w14:textId="77777777" w:rsidR="00B37230" w:rsidRDefault="00B37230"/>
    <w:sectPr w:rsidR="00B37230" w:rsidSect="00301B4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8E4DA" w14:textId="77777777" w:rsidR="005E7B36" w:rsidRDefault="005E7B36">
      <w:r>
        <w:separator/>
      </w:r>
    </w:p>
  </w:endnote>
  <w:endnote w:type="continuationSeparator" w:id="0">
    <w:p w14:paraId="27F3B6F2" w14:textId="77777777" w:rsidR="005E7B36" w:rsidRDefault="005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CCC6" w14:textId="77777777" w:rsidR="00C82A7B" w:rsidRDefault="00C8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F057" w14:textId="77777777" w:rsidR="00C82A7B" w:rsidRDefault="00C82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4DEB" w14:textId="77777777" w:rsidR="00C82A7B" w:rsidRDefault="00C82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65513" w14:textId="77777777" w:rsidR="005E7B36" w:rsidRDefault="005E7B36">
      <w:r>
        <w:separator/>
      </w:r>
    </w:p>
  </w:footnote>
  <w:footnote w:type="continuationSeparator" w:id="0">
    <w:p w14:paraId="4988DF29" w14:textId="77777777" w:rsidR="005E7B36" w:rsidRDefault="005E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FDC7" w14:textId="77777777" w:rsidR="00C82A7B" w:rsidRDefault="00C82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683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A8510D" w14:textId="77777777" w:rsidR="00CA726E" w:rsidRDefault="00C82A7B">
        <w:pPr>
          <w:pStyle w:val="Header"/>
          <w:jc w:val="right"/>
        </w:pPr>
      </w:p>
      <w:p w14:paraId="633A4E04" w14:textId="77777777" w:rsidR="00CA726E" w:rsidRDefault="00EA3AD6">
        <w:pPr>
          <w:pStyle w:val="Header"/>
          <w:jc w:val="right"/>
        </w:pPr>
        <w:r>
          <w:fldChar w:fldCharType="begin"/>
        </w:r>
        <w:r w:rsidR="00C85850">
          <w:instrText xml:space="preserve"> PAGE   \* MERGEFORMAT </w:instrText>
        </w:r>
        <w:r>
          <w:fldChar w:fldCharType="separate"/>
        </w:r>
        <w:r w:rsidR="007E2C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ECFD7AE" w14:textId="77777777" w:rsidR="00CA726E" w:rsidRDefault="00C82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6C70E" w14:textId="77777777" w:rsidR="00C82A7B" w:rsidRDefault="00C82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50"/>
    <w:rsid w:val="005E7B36"/>
    <w:rsid w:val="0061096B"/>
    <w:rsid w:val="007E2CB4"/>
    <w:rsid w:val="00924B76"/>
    <w:rsid w:val="00A32136"/>
    <w:rsid w:val="00A46590"/>
    <w:rsid w:val="00A468D9"/>
    <w:rsid w:val="00B37230"/>
    <w:rsid w:val="00C82A7B"/>
    <w:rsid w:val="00C85850"/>
    <w:rsid w:val="00E817B2"/>
    <w:rsid w:val="00E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617658C6"/>
  <w15:docId w15:val="{FBAEDE1D-618A-4503-9752-93C4E45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5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2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Dyken, Jill J. (ATSDR/OAD/OD)</cp:lastModifiedBy>
  <cp:revision>2</cp:revision>
  <dcterms:created xsi:type="dcterms:W3CDTF">2021-05-12T14:43:00Z</dcterms:created>
  <dcterms:modified xsi:type="dcterms:W3CDTF">2021-05-12T14:43:00Z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2021-05-12T14:41:07Z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a0573d75-d14e-4411-bf1b-4f5efa8fa63d</vt:lpwstr>
  </property>
  <property fmtid="{D5CDD505-2E9C-101B-9397-08002B2CF9AE}" pid="8" name="MSIP_Label_7b94a7b8-f06c-4dfe-bdcc-9b548fd58c31_ContentBits">
    <vt:lpwstr>0</vt:lpwstr>
  </property>
</Properties>
</file>