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EC3" w:rsidRDefault="00270777" w:rsidP="00553EC3">
      <w:pPr>
        <w:jc w:val="center"/>
        <w:rPr>
          <w:rFonts w:ascii="Times New Roman" w:hAnsi="Times New Roman" w:cs="Times New Roman"/>
          <w:sz w:val="24"/>
          <w:szCs w:val="24"/>
        </w:rPr>
      </w:pPr>
      <w:r>
        <w:rPr>
          <w:rFonts w:ascii="Times New Roman" w:hAnsi="Times New Roman" w:cs="Times New Roman"/>
          <w:sz w:val="24"/>
          <w:szCs w:val="24"/>
        </w:rPr>
        <w:t>Supplementa</w:t>
      </w:r>
      <w:r w:rsidR="00BD11CB">
        <w:rPr>
          <w:rFonts w:ascii="Times New Roman" w:hAnsi="Times New Roman" w:cs="Times New Roman"/>
          <w:sz w:val="24"/>
          <w:szCs w:val="24"/>
        </w:rPr>
        <w:t>l</w:t>
      </w:r>
      <w:r>
        <w:rPr>
          <w:rFonts w:ascii="Times New Roman" w:hAnsi="Times New Roman" w:cs="Times New Roman"/>
          <w:sz w:val="24"/>
          <w:szCs w:val="24"/>
        </w:rPr>
        <w:t xml:space="preserve"> Material</w:t>
      </w:r>
    </w:p>
    <w:p w:rsidR="00553EC3" w:rsidRDefault="00553EC3" w:rsidP="00553EC3">
      <w:pPr>
        <w:jc w:val="both"/>
        <w:rPr>
          <w:rFonts w:ascii="Times New Roman" w:hAnsi="Times New Roman" w:cs="Times New Roman"/>
          <w:sz w:val="24"/>
          <w:szCs w:val="24"/>
        </w:rPr>
      </w:pPr>
      <w:r>
        <w:rPr>
          <w:rFonts w:ascii="Times New Roman" w:hAnsi="Times New Roman" w:cs="Times New Roman"/>
          <w:sz w:val="24"/>
          <w:szCs w:val="24"/>
        </w:rPr>
        <w:t>Appendix A</w:t>
      </w:r>
      <w:r w:rsidR="00954892">
        <w:rPr>
          <w:rFonts w:ascii="Times New Roman" w:hAnsi="Times New Roman" w:cs="Times New Roman"/>
          <w:sz w:val="24"/>
          <w:szCs w:val="24"/>
        </w:rPr>
        <w:t xml:space="preserve">1. Data transformations </w:t>
      </w:r>
    </w:p>
    <w:p w:rsidR="00954892" w:rsidRDefault="00954892" w:rsidP="00553EC3">
      <w:pPr>
        <w:jc w:val="both"/>
        <w:rPr>
          <w:rFonts w:ascii="Times New Roman" w:hAnsi="Times New Roman" w:cs="Times New Roman"/>
          <w:sz w:val="24"/>
          <w:szCs w:val="24"/>
        </w:rPr>
      </w:pPr>
    </w:p>
    <w:p w:rsidR="00553EC3" w:rsidRPr="00265901" w:rsidRDefault="00553EC3" w:rsidP="00553EC3">
      <w:pPr>
        <w:spacing w:after="0" w:line="480" w:lineRule="auto"/>
        <w:jc w:val="both"/>
        <w:rPr>
          <w:rFonts w:ascii="Times New Roman" w:hAnsi="Times New Roman" w:cs="Times New Roman"/>
          <w:sz w:val="24"/>
          <w:szCs w:val="24"/>
        </w:rPr>
      </w:pPr>
      <w:r w:rsidRPr="00265901">
        <w:rPr>
          <w:rFonts w:ascii="Times New Roman" w:hAnsi="Times New Roman" w:cs="Times New Roman"/>
          <w:sz w:val="24"/>
          <w:szCs w:val="24"/>
        </w:rPr>
        <w:t>We differentiate between primary diagnos</w:t>
      </w:r>
      <w:r>
        <w:rPr>
          <w:rFonts w:ascii="Times New Roman" w:hAnsi="Times New Roman" w:cs="Times New Roman"/>
          <w:sz w:val="24"/>
          <w:szCs w:val="24"/>
        </w:rPr>
        <w:t>i</w:t>
      </w:r>
      <w:r w:rsidRPr="00265901">
        <w:rPr>
          <w:rFonts w:ascii="Times New Roman" w:hAnsi="Times New Roman" w:cs="Times New Roman"/>
          <w:sz w:val="24"/>
          <w:szCs w:val="24"/>
        </w:rPr>
        <w:t xml:space="preserve">s and secondary (“other”) diagnoses. We define primary diagnosis as the first listed diagnosis, or “the condition established after study to be chiefly responsible for occasioning the admission of the patient to the hospital for care” </w:t>
      </w:r>
      <w:r w:rsidRPr="00265901">
        <w:rPr>
          <w:rFonts w:ascii="Times New Roman" w:hAnsi="Times New Roman" w:cs="Times New Roman"/>
          <w:sz w:val="24"/>
          <w:szCs w:val="24"/>
        </w:rPr>
        <w:fldChar w:fldCharType="begin"/>
      </w:r>
      <w:r w:rsidR="00EF5882">
        <w:rPr>
          <w:rFonts w:ascii="Times New Roman" w:hAnsi="Times New Roman" w:cs="Times New Roman"/>
          <w:sz w:val="24"/>
          <w:szCs w:val="24"/>
        </w:rPr>
        <w:instrText xml:space="preserve"> ADDIN EN.CITE &lt;EndNote&gt;&lt;Cite&gt;&lt;Author&gt;NIS Description of Data Elements&lt;/Author&gt;&lt;RecNum&gt;14&lt;/RecNum&gt;&lt;DisplayText&gt;(1)&lt;/DisplayText&gt;&lt;record&gt;&lt;rec-number&gt;14&lt;/rec-number&gt;&lt;foreign-keys&gt;&lt;key app="EN" db-id="rsx0x9zxhav5t9erewsxwewaww9f0t0rxpea" timestamp="1561151128" guid="5ab47556-8f11-40a7-9c58-41f07d07cc6a"&gt;14&lt;/key&gt;&lt;/foreign-keys&gt;&lt;ref-type name="Journal Article"&gt;17&lt;/ref-type&gt;&lt;contributors&gt;&lt;authors&gt;&lt;author&gt;NIS Description of Data Elements,&lt;/author&gt;&lt;/authors&gt;&lt;/contributors&gt;&lt;titles&gt;&lt;title&gt;Healthcare Cost and Utilization Project (HCUP). August 2018. Agency for Healthcare Research and Quality, Rockville, MD. www.hcup-us.ahrq.gov/db/nation/nis/nisdde.jsp. Accessed May 25, 2019 &lt;/title&gt;&lt;/titles&gt;&lt;dates&gt;&lt;/dates&gt;&lt;urls&gt;&lt;/urls&gt;&lt;/record&gt;&lt;/Cite&gt;&lt;/EndNote&gt;</w:instrText>
      </w:r>
      <w:r w:rsidRPr="00265901">
        <w:rPr>
          <w:rFonts w:ascii="Times New Roman" w:hAnsi="Times New Roman" w:cs="Times New Roman"/>
          <w:sz w:val="24"/>
          <w:szCs w:val="24"/>
        </w:rPr>
        <w:fldChar w:fldCharType="separate"/>
      </w:r>
      <w:r w:rsidR="00EF5882">
        <w:rPr>
          <w:rFonts w:ascii="Times New Roman" w:hAnsi="Times New Roman" w:cs="Times New Roman"/>
          <w:noProof/>
          <w:sz w:val="24"/>
          <w:szCs w:val="24"/>
        </w:rPr>
        <w:t>(1)</w:t>
      </w:r>
      <w:r w:rsidRPr="00265901">
        <w:rPr>
          <w:rFonts w:ascii="Times New Roman" w:hAnsi="Times New Roman" w:cs="Times New Roman"/>
          <w:sz w:val="24"/>
          <w:szCs w:val="24"/>
        </w:rPr>
        <w:fldChar w:fldCharType="end"/>
      </w:r>
      <w:r w:rsidRPr="00265901">
        <w:rPr>
          <w:rFonts w:ascii="Times New Roman" w:hAnsi="Times New Roman" w:cs="Times New Roman"/>
          <w:sz w:val="24"/>
          <w:szCs w:val="24"/>
        </w:rPr>
        <w:t xml:space="preserve">.  Secondary diagnoses are all diagnoses listed in positions 2 – 30 on the medical record. An increasing number of positions are allotted for diagnoses in these data collection years by states reporting to HCUP: 15 positions per hospitalization during 2006-2008, 25 positions during 2009 – 2013, and 30 positions during 2014 - 2016. Across the years, only 1.36% of the diagnoses occur in position 16 and higher; as such, the inclusion of these additional positions across years likely has little effect on the analysis of patterns. </w:t>
      </w:r>
    </w:p>
    <w:p w:rsidR="00553EC3" w:rsidRPr="00265901" w:rsidRDefault="00553EC3" w:rsidP="00553EC3">
      <w:pPr>
        <w:spacing w:after="0" w:line="480" w:lineRule="auto"/>
        <w:jc w:val="both"/>
        <w:rPr>
          <w:rFonts w:ascii="Times New Roman" w:hAnsi="Times New Roman" w:cs="Times New Roman"/>
          <w:sz w:val="24"/>
          <w:szCs w:val="24"/>
        </w:rPr>
      </w:pPr>
      <w:r w:rsidRPr="00265901">
        <w:rPr>
          <w:rFonts w:ascii="Times New Roman" w:hAnsi="Times New Roman" w:cs="Times New Roman"/>
          <w:sz w:val="24"/>
          <w:szCs w:val="24"/>
        </w:rPr>
        <w:t>To identify discharges with obesity as the primary or secondary diagnosis, we use the International Classification of Diseases, 9</w:t>
      </w:r>
      <w:r w:rsidRPr="00265901">
        <w:rPr>
          <w:rFonts w:ascii="Times New Roman" w:hAnsi="Times New Roman" w:cs="Times New Roman"/>
          <w:sz w:val="24"/>
          <w:szCs w:val="24"/>
          <w:vertAlign w:val="superscript"/>
        </w:rPr>
        <w:t>th</w:t>
      </w:r>
      <w:r w:rsidRPr="00265901">
        <w:rPr>
          <w:rFonts w:ascii="Times New Roman" w:hAnsi="Times New Roman" w:cs="Times New Roman"/>
          <w:sz w:val="24"/>
          <w:szCs w:val="24"/>
        </w:rPr>
        <w:t xml:space="preserve"> Revision (ICD-9) codes of 278.00 and 278.01 and the ICD, 10</w:t>
      </w:r>
      <w:r w:rsidRPr="00265901">
        <w:rPr>
          <w:rFonts w:ascii="Times New Roman" w:hAnsi="Times New Roman" w:cs="Times New Roman"/>
          <w:sz w:val="24"/>
          <w:szCs w:val="24"/>
          <w:vertAlign w:val="superscript"/>
        </w:rPr>
        <w:t>th</w:t>
      </w:r>
      <w:r w:rsidRPr="00265901">
        <w:rPr>
          <w:rFonts w:ascii="Times New Roman" w:hAnsi="Times New Roman" w:cs="Times New Roman"/>
          <w:sz w:val="24"/>
          <w:szCs w:val="24"/>
        </w:rPr>
        <w:t xml:space="preserve"> Revision (ICD-10) codes of E66.8, E66.9, E66.0, E66.01, and E66.09. To identify the conditions that most frequently co-occur with the secondary diagnosis of obesity, we use the Clinical Classifications Software (CCS) tool to cluster ICD-9 or ICD-10 diagnoses into distinct, clinically meaningful categories. Following </w:t>
      </w:r>
      <w:proofErr w:type="spellStart"/>
      <w:r w:rsidRPr="00265901">
        <w:rPr>
          <w:rFonts w:ascii="Times New Roman" w:hAnsi="Times New Roman" w:cs="Times New Roman"/>
          <w:sz w:val="24"/>
          <w:szCs w:val="24"/>
        </w:rPr>
        <w:t>Trasande</w:t>
      </w:r>
      <w:proofErr w:type="spellEnd"/>
      <w:r w:rsidRPr="00265901">
        <w:rPr>
          <w:rFonts w:ascii="Times New Roman" w:hAnsi="Times New Roman" w:cs="Times New Roman"/>
          <w:sz w:val="24"/>
          <w:szCs w:val="24"/>
        </w:rPr>
        <w:t xml:space="preserve"> (2009), we combine CCS categories 49 and 50 (diabetes mellitus with and without complications) for this analysis, as well as all pregnancy-related conditions (categories 181–196). We account for the 2015 shift from the ICD-9 to ICD-10 coding system</w:t>
      </w:r>
      <w:r>
        <w:rPr>
          <w:rFonts w:ascii="Times New Roman" w:hAnsi="Times New Roman" w:cs="Times New Roman"/>
          <w:sz w:val="24"/>
          <w:szCs w:val="24"/>
        </w:rPr>
        <w:t xml:space="preserve"> in all models</w:t>
      </w:r>
      <w:r w:rsidRPr="00265901">
        <w:rPr>
          <w:rFonts w:ascii="Times New Roman" w:hAnsi="Times New Roman" w:cs="Times New Roman"/>
          <w:sz w:val="24"/>
          <w:szCs w:val="24"/>
        </w:rPr>
        <w:t xml:space="preserve"> by</w:t>
      </w:r>
      <w:r>
        <w:rPr>
          <w:rFonts w:ascii="Times New Roman" w:hAnsi="Times New Roman" w:cs="Times New Roman"/>
          <w:sz w:val="24"/>
          <w:szCs w:val="24"/>
        </w:rPr>
        <w:t xml:space="preserve"> including</w:t>
      </w:r>
      <w:r w:rsidRPr="00265901">
        <w:rPr>
          <w:rFonts w:ascii="Times New Roman" w:hAnsi="Times New Roman" w:cs="Times New Roman"/>
          <w:sz w:val="24"/>
          <w:szCs w:val="24"/>
        </w:rPr>
        <w:t xml:space="preserve"> an indicator variable to </w:t>
      </w:r>
      <w:r>
        <w:rPr>
          <w:rFonts w:ascii="Times New Roman" w:hAnsi="Times New Roman" w:cs="Times New Roman"/>
          <w:sz w:val="24"/>
          <w:szCs w:val="24"/>
        </w:rPr>
        <w:t>account for a potential discontinuity caused by this change</w:t>
      </w:r>
      <w:r w:rsidRPr="00265901">
        <w:rPr>
          <w:rFonts w:ascii="Times New Roman" w:hAnsi="Times New Roman" w:cs="Times New Roman"/>
          <w:sz w:val="24"/>
          <w:szCs w:val="24"/>
        </w:rPr>
        <w:t xml:space="preserve">. </w:t>
      </w:r>
    </w:p>
    <w:p w:rsidR="00553EC3" w:rsidRPr="00265901" w:rsidRDefault="00553EC3" w:rsidP="00553EC3">
      <w:pPr>
        <w:spacing w:after="0" w:line="480" w:lineRule="auto"/>
        <w:rPr>
          <w:rFonts w:ascii="Times New Roman" w:hAnsi="Times New Roman" w:cs="Times New Roman"/>
          <w:sz w:val="24"/>
          <w:szCs w:val="24"/>
        </w:rPr>
      </w:pPr>
      <w:r w:rsidRPr="00265901">
        <w:rPr>
          <w:rFonts w:ascii="Times New Roman" w:hAnsi="Times New Roman" w:cs="Times New Roman"/>
          <w:sz w:val="24"/>
          <w:szCs w:val="24"/>
        </w:rPr>
        <w:t xml:space="preserve">We use weights and study design variables (strata and clusters) in all analyses to account for the sample stratification and obtain national estimates.  In accordance with recommendations in the HCUP data documentation, we use the trend weight (TRENDWT) for years 2006 - 2011, and the regular discharge weight (DISCWT) for years 2012 – 2016 </w:t>
      </w:r>
      <w:r w:rsidRPr="00265901">
        <w:rPr>
          <w:rFonts w:ascii="Times New Roman" w:hAnsi="Times New Roman" w:cs="Times New Roman"/>
          <w:sz w:val="24"/>
          <w:szCs w:val="24"/>
        </w:rPr>
        <w:fldChar w:fldCharType="begin"/>
      </w:r>
      <w:r w:rsidR="00EF5882">
        <w:rPr>
          <w:rFonts w:ascii="Times New Roman" w:hAnsi="Times New Roman" w:cs="Times New Roman"/>
          <w:sz w:val="24"/>
          <w:szCs w:val="24"/>
        </w:rPr>
        <w:instrText xml:space="preserve"> ADDIN EN.CITE &lt;EndNote&gt;&lt;Cite&gt;&lt;Author&gt;HCUP NIS Trend Weights&lt;/Author&gt;&lt;RecNum&gt;15&lt;/RecNum&gt;&lt;DisplayText&gt;(2)&lt;/DisplayText&gt;&lt;record&gt;&lt;rec-number&gt;15&lt;/rec-number&gt;&lt;foreign-keys&gt;&lt;key app="EN" db-id="rsx0x9zxhav5t9erewsxwewaww9f0t0rxpea" timestamp="1561151128" guid="42961e82-e571-4d19-ba6a-6ab6a17730b6"&gt;15&lt;/key&gt;&lt;/foreign-keys&gt;&lt;ref-type name="Web Page"&gt;12&lt;/ref-type&gt;&lt;contributors&gt;&lt;authors&gt;&lt;author&gt;HCUP NIS Trend Weights,&lt;/author&gt;&lt;/authors&gt;&lt;/contributors&gt;&lt;titles&gt;&lt;title&gt;Healthcare Cost and Utilization Project (HCUP). May 2015. Agency for Healthcare Research and Quality, Rockville, MD. www.hcup-us.ahrq.gov/db/nation/nis/trendwghts.jsp. Accessed May 21, 2019 &lt;/title&gt;&lt;/titles&gt;&lt;dates&gt;&lt;/dates&gt;&lt;urls&gt;&lt;/urls&gt;&lt;/record&gt;&lt;/Cite&gt;&lt;/EndNote&gt;</w:instrText>
      </w:r>
      <w:r w:rsidRPr="00265901">
        <w:rPr>
          <w:rFonts w:ascii="Times New Roman" w:hAnsi="Times New Roman" w:cs="Times New Roman"/>
          <w:sz w:val="24"/>
          <w:szCs w:val="24"/>
        </w:rPr>
        <w:fldChar w:fldCharType="separate"/>
      </w:r>
      <w:r w:rsidR="00EF5882">
        <w:rPr>
          <w:rFonts w:ascii="Times New Roman" w:hAnsi="Times New Roman" w:cs="Times New Roman"/>
          <w:noProof/>
          <w:sz w:val="24"/>
          <w:szCs w:val="24"/>
        </w:rPr>
        <w:t>(2)</w:t>
      </w:r>
      <w:r w:rsidRPr="00265901">
        <w:rPr>
          <w:rFonts w:ascii="Times New Roman" w:hAnsi="Times New Roman" w:cs="Times New Roman"/>
          <w:sz w:val="24"/>
          <w:szCs w:val="24"/>
        </w:rPr>
        <w:fldChar w:fldCharType="end"/>
      </w:r>
      <w:r w:rsidRPr="00265901">
        <w:rPr>
          <w:rFonts w:ascii="Times New Roman" w:hAnsi="Times New Roman" w:cs="Times New Roman"/>
          <w:sz w:val="24"/>
          <w:szCs w:val="24"/>
        </w:rPr>
        <w:t>.</w:t>
      </w:r>
    </w:p>
    <w:p w:rsidR="00553EC3" w:rsidRPr="00265901" w:rsidRDefault="00553EC3" w:rsidP="00553EC3">
      <w:pPr>
        <w:spacing w:after="0" w:line="480" w:lineRule="auto"/>
        <w:rPr>
          <w:rFonts w:ascii="Times New Roman" w:hAnsi="Times New Roman" w:cs="Times New Roman"/>
          <w:sz w:val="24"/>
          <w:szCs w:val="24"/>
        </w:rPr>
      </w:pPr>
      <w:r w:rsidRPr="00265901">
        <w:rPr>
          <w:rFonts w:ascii="Times New Roman" w:hAnsi="Times New Roman" w:cs="Times New Roman"/>
          <w:sz w:val="24"/>
          <w:szCs w:val="24"/>
        </w:rPr>
        <w:lastRenderedPageBreak/>
        <w:t xml:space="preserve">HCUP data provide the total charges for each hospitalization. Charges are the amount that hospitals billed for services, but do not reflect the specific amounts that hospitals received in payment </w:t>
      </w:r>
      <w:r w:rsidRPr="00265901">
        <w:rPr>
          <w:rFonts w:ascii="Times New Roman" w:hAnsi="Times New Roman" w:cs="Times New Roman"/>
          <w:sz w:val="24"/>
          <w:szCs w:val="24"/>
        </w:rPr>
        <w:fldChar w:fldCharType="begin"/>
      </w:r>
      <w:r w:rsidR="00EF5882">
        <w:rPr>
          <w:rFonts w:ascii="Times New Roman" w:hAnsi="Times New Roman" w:cs="Times New Roman"/>
          <w:sz w:val="24"/>
          <w:szCs w:val="24"/>
        </w:rPr>
        <w:instrText xml:space="preserve"> ADDIN EN.CITE &lt;EndNote&gt;&lt;Cite&gt;&lt;Author&gt;Cost-to-Charge Ratio Files&lt;/Author&gt;&lt;RecNum&gt;16&lt;/RecNum&gt;&lt;DisplayText&gt;(3)&lt;/DisplayText&gt;&lt;record&gt;&lt;rec-number&gt;16&lt;/rec-number&gt;&lt;foreign-keys&gt;&lt;key app="EN" db-id="rsx0x9zxhav5t9erewsxwewaww9f0t0rxpea" timestamp="1561151128" guid="bc9c6bd8-4b28-4fec-9317-8e2c2682d1c0"&gt;16&lt;/key&gt;&lt;/foreign-keys&gt;&lt;ref-type name="Generic"&gt;13&lt;/ref-type&gt;&lt;contributors&gt;&lt;authors&gt;&lt;author&gt;Cost-to-Charge Ratio Files,&lt;/author&gt;&lt;/authors&gt;&lt;/contributors&gt;&lt;titles&gt;&lt;title&gt;Healthcare Cost and Utilization Project (HCUP). September 2018. Agency for Healthcare Research and Quality, Rockville, MD. www.hcup-us.ahrq.gov/db/state/costtocharge.jsp. Accessed May 25, 2019 &lt;/title&gt;&lt;/titles&gt;&lt;dates&gt;&lt;/dates&gt;&lt;urls&gt;&lt;/urls&gt;&lt;/record&gt;&lt;/Cite&gt;&lt;/EndNote&gt;</w:instrText>
      </w:r>
      <w:r w:rsidRPr="00265901">
        <w:rPr>
          <w:rFonts w:ascii="Times New Roman" w:hAnsi="Times New Roman" w:cs="Times New Roman"/>
          <w:sz w:val="24"/>
          <w:szCs w:val="24"/>
        </w:rPr>
        <w:fldChar w:fldCharType="separate"/>
      </w:r>
      <w:r w:rsidR="00EF5882">
        <w:rPr>
          <w:rFonts w:ascii="Times New Roman" w:hAnsi="Times New Roman" w:cs="Times New Roman"/>
          <w:noProof/>
          <w:sz w:val="24"/>
          <w:szCs w:val="24"/>
        </w:rPr>
        <w:t>(3)</w:t>
      </w:r>
      <w:r w:rsidRPr="00265901">
        <w:rPr>
          <w:rFonts w:ascii="Times New Roman" w:hAnsi="Times New Roman" w:cs="Times New Roman"/>
          <w:sz w:val="24"/>
          <w:szCs w:val="24"/>
        </w:rPr>
        <w:fldChar w:fldCharType="end"/>
      </w:r>
      <w:r w:rsidRPr="00265901">
        <w:rPr>
          <w:rFonts w:ascii="Times New Roman" w:hAnsi="Times New Roman" w:cs="Times New Roman"/>
          <w:sz w:val="24"/>
          <w:szCs w:val="24"/>
        </w:rPr>
        <w:t xml:space="preserve">. Costs represent actual expenses incurred in the production of hospital services </w:t>
      </w:r>
      <w:r>
        <w:rPr>
          <w:rFonts w:ascii="Times New Roman" w:hAnsi="Times New Roman" w:cs="Times New Roman"/>
          <w:sz w:val="24"/>
          <w:szCs w:val="24"/>
        </w:rPr>
        <w:t>and are obtained using the</w:t>
      </w:r>
      <w:r w:rsidRPr="00265901">
        <w:rPr>
          <w:rFonts w:ascii="Times New Roman" w:hAnsi="Times New Roman" w:cs="Times New Roman"/>
          <w:sz w:val="24"/>
          <w:szCs w:val="24"/>
        </w:rPr>
        <w:t xml:space="preserve"> formula:</w:t>
      </w:r>
    </w:p>
    <w:p w:rsidR="00553EC3" w:rsidRPr="00265901" w:rsidRDefault="00553EC3" w:rsidP="00553EC3">
      <w:pPr>
        <w:spacing w:after="0" w:line="480" w:lineRule="auto"/>
        <w:jc w:val="center"/>
        <w:rPr>
          <w:rFonts w:ascii="Times New Roman" w:hAnsi="Times New Roman" w:cs="Times New Roman"/>
          <w:sz w:val="24"/>
          <w:szCs w:val="24"/>
        </w:rPr>
      </w:pPr>
      <w:r w:rsidRPr="00265901">
        <w:rPr>
          <w:rFonts w:ascii="Times New Roman" w:hAnsi="Times New Roman" w:cs="Times New Roman"/>
          <w:sz w:val="24"/>
          <w:szCs w:val="24"/>
        </w:rPr>
        <w:t>Total Cost = Total Charge x Cost-to-Charge Ratio</w:t>
      </w:r>
    </w:p>
    <w:p w:rsidR="00553EC3" w:rsidRPr="00265901" w:rsidRDefault="00553EC3" w:rsidP="00553EC3">
      <w:pPr>
        <w:spacing w:after="0" w:line="480" w:lineRule="auto"/>
        <w:rPr>
          <w:rFonts w:ascii="Times New Roman" w:hAnsi="Times New Roman" w:cs="Times New Roman"/>
          <w:sz w:val="24"/>
          <w:szCs w:val="24"/>
        </w:rPr>
      </w:pPr>
      <w:r w:rsidRPr="00265901">
        <w:rPr>
          <w:rFonts w:ascii="Times New Roman" w:hAnsi="Times New Roman" w:cs="Times New Roman"/>
          <w:sz w:val="24"/>
          <w:szCs w:val="24"/>
        </w:rPr>
        <w:t xml:space="preserve">Cost-to-charge ratios are provided by the Agency for Healthcare Research and Quality </w:t>
      </w:r>
      <w:r w:rsidRPr="00265901">
        <w:rPr>
          <w:rFonts w:ascii="Times New Roman" w:hAnsi="Times New Roman" w:cs="Times New Roman"/>
          <w:sz w:val="24"/>
          <w:szCs w:val="24"/>
        </w:rPr>
        <w:fldChar w:fldCharType="begin"/>
      </w:r>
      <w:r w:rsidR="00EF5882">
        <w:rPr>
          <w:rFonts w:ascii="Times New Roman" w:hAnsi="Times New Roman" w:cs="Times New Roman"/>
          <w:sz w:val="24"/>
          <w:szCs w:val="24"/>
        </w:rPr>
        <w:instrText xml:space="preserve"> ADDIN EN.CITE &lt;EndNote&gt;&lt;Cite&gt;&lt;Author&gt;Cost-to-Charge Ratio Files&lt;/Author&gt;&lt;RecNum&gt;16&lt;/RecNum&gt;&lt;DisplayText&gt;(3)&lt;/DisplayText&gt;&lt;record&gt;&lt;rec-number&gt;16&lt;/rec-number&gt;&lt;foreign-keys&gt;&lt;key app="EN" db-id="rsx0x9zxhav5t9erewsxwewaww9f0t0rxpea" timestamp="1561151128" guid="bc9c6bd8-4b28-4fec-9317-8e2c2682d1c0"&gt;16&lt;/key&gt;&lt;/foreign-keys&gt;&lt;ref-type name="Generic"&gt;13&lt;/ref-type&gt;&lt;contributors&gt;&lt;authors&gt;&lt;author&gt;Cost-to-Charge Ratio Files,&lt;/author&gt;&lt;/authors&gt;&lt;/contributors&gt;&lt;titles&gt;&lt;title&gt;Healthcare Cost and Utilization Project (HCUP). September 2018. Agency for Healthcare Research and Quality, Rockville, MD. www.hcup-us.ahrq.gov/db/state/costtocharge.jsp. Accessed May 25, 2019 &lt;/title&gt;&lt;/titles&gt;&lt;dates&gt;&lt;/dates&gt;&lt;urls&gt;&lt;/urls&gt;&lt;/record&gt;&lt;/Cite&gt;&lt;/EndNote&gt;</w:instrText>
      </w:r>
      <w:r w:rsidRPr="00265901">
        <w:rPr>
          <w:rFonts w:ascii="Times New Roman" w:hAnsi="Times New Roman" w:cs="Times New Roman"/>
          <w:sz w:val="24"/>
          <w:szCs w:val="24"/>
        </w:rPr>
        <w:fldChar w:fldCharType="separate"/>
      </w:r>
      <w:r w:rsidR="00EF5882">
        <w:rPr>
          <w:rFonts w:ascii="Times New Roman" w:hAnsi="Times New Roman" w:cs="Times New Roman"/>
          <w:noProof/>
          <w:sz w:val="24"/>
          <w:szCs w:val="24"/>
        </w:rPr>
        <w:t>(3)</w:t>
      </w:r>
      <w:r w:rsidRPr="00265901">
        <w:rPr>
          <w:rFonts w:ascii="Times New Roman" w:hAnsi="Times New Roman" w:cs="Times New Roman"/>
          <w:sz w:val="24"/>
          <w:szCs w:val="24"/>
        </w:rPr>
        <w:fldChar w:fldCharType="end"/>
      </w:r>
      <w:r w:rsidRPr="00265901">
        <w:rPr>
          <w:rFonts w:ascii="Times New Roman" w:hAnsi="Times New Roman" w:cs="Times New Roman"/>
          <w:sz w:val="24"/>
          <w:szCs w:val="24"/>
        </w:rPr>
        <w:t xml:space="preserve">. Following AHRQ recommendations, we use hospital-specific all-payer inpatient cost-to-charge ratio (APICC), when available, and otherwise use the weighted group average (GAPICC). </w:t>
      </w:r>
    </w:p>
    <w:p w:rsidR="00553EC3" w:rsidRPr="00265901" w:rsidRDefault="00553EC3" w:rsidP="00553EC3">
      <w:pPr>
        <w:spacing w:after="0" w:line="480" w:lineRule="auto"/>
        <w:rPr>
          <w:rFonts w:ascii="Times New Roman" w:hAnsi="Times New Roman" w:cs="Times New Roman"/>
          <w:sz w:val="24"/>
          <w:szCs w:val="24"/>
        </w:rPr>
      </w:pPr>
      <w:r w:rsidRPr="00265901">
        <w:rPr>
          <w:rFonts w:ascii="Times New Roman" w:hAnsi="Times New Roman" w:cs="Times New Roman"/>
          <w:sz w:val="24"/>
          <w:szCs w:val="24"/>
        </w:rPr>
        <w:t xml:space="preserve">In the cases when both measures of cost-to-charge ratios (APICC and GAPICC) are missing (3% of our sample), </w:t>
      </w:r>
      <w:r>
        <w:rPr>
          <w:rFonts w:ascii="Times New Roman" w:hAnsi="Times New Roman" w:cs="Times New Roman"/>
          <w:sz w:val="24"/>
          <w:szCs w:val="24"/>
        </w:rPr>
        <w:t xml:space="preserve">we follow </w:t>
      </w:r>
      <w:r w:rsidRPr="00265901">
        <w:rPr>
          <w:rFonts w:ascii="Times New Roman" w:hAnsi="Times New Roman" w:cs="Times New Roman"/>
          <w:sz w:val="24"/>
          <w:szCs w:val="24"/>
        </w:rPr>
        <w:t xml:space="preserve">the User Guide for National Inpatient Sample (NIS) Cost-to-Charge Ratios </w:t>
      </w:r>
      <w:r>
        <w:rPr>
          <w:rFonts w:ascii="Times New Roman" w:hAnsi="Times New Roman" w:cs="Times New Roman"/>
          <w:sz w:val="24"/>
          <w:szCs w:val="24"/>
        </w:rPr>
        <w:t xml:space="preserve">in </w:t>
      </w:r>
      <w:r w:rsidRPr="00265901">
        <w:rPr>
          <w:rFonts w:ascii="Times New Roman" w:hAnsi="Times New Roman" w:cs="Times New Roman"/>
          <w:sz w:val="24"/>
          <w:szCs w:val="24"/>
        </w:rPr>
        <w:t>creat</w:t>
      </w:r>
      <w:r>
        <w:rPr>
          <w:rFonts w:ascii="Times New Roman" w:hAnsi="Times New Roman" w:cs="Times New Roman"/>
          <w:sz w:val="24"/>
          <w:szCs w:val="24"/>
        </w:rPr>
        <w:t>ing</w:t>
      </w:r>
      <w:r w:rsidRPr="00265901">
        <w:rPr>
          <w:rFonts w:ascii="Times New Roman" w:hAnsi="Times New Roman" w:cs="Times New Roman"/>
          <w:sz w:val="24"/>
          <w:szCs w:val="24"/>
        </w:rPr>
        <w:t xml:space="preserve"> a new discharge weight for cost estimates only</w:t>
      </w:r>
      <w:r>
        <w:rPr>
          <w:rFonts w:ascii="Times New Roman" w:hAnsi="Times New Roman" w:cs="Times New Roman"/>
          <w:sz w:val="24"/>
          <w:szCs w:val="24"/>
        </w:rPr>
        <w:t xml:space="preserve"> </w:t>
      </w:r>
      <w:r w:rsidRPr="00265901">
        <w:rPr>
          <w:rFonts w:ascii="Times New Roman" w:hAnsi="Times New Roman" w:cs="Times New Roman"/>
          <w:sz w:val="24"/>
          <w:szCs w:val="24"/>
        </w:rPr>
        <w:fldChar w:fldCharType="begin"/>
      </w:r>
      <w:r w:rsidR="00EF5882">
        <w:rPr>
          <w:rFonts w:ascii="Times New Roman" w:hAnsi="Times New Roman" w:cs="Times New Roman"/>
          <w:sz w:val="24"/>
          <w:szCs w:val="24"/>
        </w:rPr>
        <w:instrText xml:space="preserve"> ADDIN EN.CITE &lt;EndNote&gt;&lt;Cite&gt;&lt;Author&gt;NIS Description of Data Elements&lt;/Author&gt;&lt;RecNum&gt;14&lt;/RecNum&gt;&lt;DisplayText&gt;(1)&lt;/DisplayText&gt;&lt;record&gt;&lt;rec-number&gt;14&lt;/rec-number&gt;&lt;foreign-keys&gt;&lt;key app="EN" db-id="rsx0x9zxhav5t9erewsxwewaww9f0t0rxpea" timestamp="1561151128" guid="5ab47556-8f11-40a7-9c58-41f07d07cc6a"&gt;14&lt;/key&gt;&lt;/foreign-keys&gt;&lt;ref-type name="Journal Article"&gt;17&lt;/ref-type&gt;&lt;contributors&gt;&lt;authors&gt;&lt;author&gt;NIS Description of Data Elements,&lt;/author&gt;&lt;/authors&gt;&lt;/contributors&gt;&lt;titles&gt;&lt;title&gt;Healthcare Cost and Utilization Project (HCUP). August 2018. Agency for Healthcare Research and Quality, Rockville, MD. www.hcup-us.ahrq.gov/db/nation/nis/nisdde.jsp. Accessed May 25, 2019 &lt;/title&gt;&lt;/titles&gt;&lt;dates&gt;&lt;/dates&gt;&lt;urls&gt;&lt;/urls&gt;&lt;/record&gt;&lt;/Cite&gt;&lt;/EndNote&gt;</w:instrText>
      </w:r>
      <w:r w:rsidRPr="00265901">
        <w:rPr>
          <w:rFonts w:ascii="Times New Roman" w:hAnsi="Times New Roman" w:cs="Times New Roman"/>
          <w:sz w:val="24"/>
          <w:szCs w:val="24"/>
        </w:rPr>
        <w:fldChar w:fldCharType="separate"/>
      </w:r>
      <w:r w:rsidR="00EF5882">
        <w:rPr>
          <w:rFonts w:ascii="Times New Roman" w:hAnsi="Times New Roman" w:cs="Times New Roman"/>
          <w:noProof/>
          <w:sz w:val="24"/>
          <w:szCs w:val="24"/>
        </w:rPr>
        <w:t>(1)</w:t>
      </w:r>
      <w:r w:rsidRPr="00265901">
        <w:rPr>
          <w:rFonts w:ascii="Times New Roman" w:hAnsi="Times New Roman" w:cs="Times New Roman"/>
          <w:sz w:val="24"/>
          <w:szCs w:val="24"/>
        </w:rPr>
        <w:fldChar w:fldCharType="end"/>
      </w:r>
      <w:r w:rsidRPr="00265901">
        <w:rPr>
          <w:rFonts w:ascii="Times New Roman" w:hAnsi="Times New Roman" w:cs="Times New Roman"/>
          <w:sz w:val="24"/>
          <w:szCs w:val="24"/>
        </w:rPr>
        <w:t xml:space="preserve">: </w:t>
      </w:r>
    </w:p>
    <w:p w:rsidR="00553EC3" w:rsidRPr="00265901" w:rsidRDefault="00553EC3" w:rsidP="00553EC3">
      <w:pPr>
        <w:spacing w:after="0" w:line="480" w:lineRule="auto"/>
        <w:rPr>
          <w:rFonts w:ascii="Times New Roman" w:hAnsi="Times New Roman" w:cs="Times New Roman"/>
          <w:sz w:val="24"/>
          <w:szCs w:val="24"/>
        </w:rPr>
      </w:pPr>
      <w:r w:rsidRPr="00265901">
        <w:rPr>
          <w:rFonts w:ascii="Times New Roman" w:hAnsi="Times New Roman" w:cs="Times New Roman"/>
          <w:sz w:val="24"/>
          <w:szCs w:val="24"/>
        </w:rPr>
        <w:t xml:space="preserve">New Discharge Weight = Original discharge weight x </w:t>
      </w:r>
    </w:p>
    <w:p w:rsidR="00553EC3" w:rsidRPr="00265901" w:rsidRDefault="00553EC3" w:rsidP="00553EC3">
      <w:pPr>
        <w:pStyle w:val="ListParagraph"/>
        <w:spacing w:after="0" w:line="480" w:lineRule="auto"/>
        <w:ind w:left="1224"/>
        <w:rPr>
          <w:rFonts w:ascii="Times New Roman" w:hAnsi="Times New Roman" w:cs="Times New Roman"/>
          <w:sz w:val="24"/>
          <w:szCs w:val="24"/>
        </w:rPr>
      </w:pPr>
      <w:r w:rsidRPr="00265901">
        <w:rPr>
          <w:rFonts w:ascii="Times New Roman" w:hAnsi="Times New Roman" w:cs="Times New Roman"/>
          <w:sz w:val="24"/>
          <w:szCs w:val="24"/>
        </w:rPr>
        <w:t>(Total weight of original cases / Total weights, after excluding cases with missing cost)</w:t>
      </w:r>
    </w:p>
    <w:p w:rsidR="00553EC3" w:rsidRDefault="00553EC3" w:rsidP="00EF5882">
      <w:pPr>
        <w:spacing w:after="0" w:line="480" w:lineRule="auto"/>
        <w:rPr>
          <w:rFonts w:ascii="Times New Roman" w:hAnsi="Times New Roman" w:cs="Times New Roman"/>
          <w:sz w:val="24"/>
          <w:szCs w:val="24"/>
        </w:rPr>
      </w:pPr>
      <w:r w:rsidRPr="00265901">
        <w:rPr>
          <w:rFonts w:ascii="Times New Roman" w:hAnsi="Times New Roman" w:cs="Times New Roman"/>
          <w:sz w:val="24"/>
          <w:szCs w:val="24"/>
        </w:rPr>
        <w:t>We report all total charges and costs in 2016 medical price equivalents, using the Personal Consumption Expenditures: Health care index (PCE). PCE index is preferred to Consumer Price Index (CPI) because it reflects the price level of health care expenditures</w:t>
      </w:r>
      <w:r w:rsidR="00EF5882">
        <w:rPr>
          <w:rFonts w:ascii="Times New Roman" w:hAnsi="Times New Roman" w:cs="Times New Roman"/>
          <w:sz w:val="24"/>
          <w:szCs w:val="24"/>
        </w:rPr>
        <w:t xml:space="preserve"> </w:t>
      </w:r>
      <w:r w:rsidR="00EF5882">
        <w:rPr>
          <w:rFonts w:ascii="Times New Roman" w:hAnsi="Times New Roman" w:cs="Times New Roman"/>
          <w:sz w:val="24"/>
          <w:szCs w:val="24"/>
        </w:rPr>
        <w:fldChar w:fldCharType="begin"/>
      </w:r>
      <w:r w:rsidR="00EF5882">
        <w:rPr>
          <w:rFonts w:ascii="Times New Roman" w:hAnsi="Times New Roman" w:cs="Times New Roman"/>
          <w:sz w:val="24"/>
          <w:szCs w:val="24"/>
        </w:rPr>
        <w:instrText xml:space="preserve"> ADDIN EN.CITE &lt;EndNote&gt;&lt;Cite&gt;&lt;Author&gt;Dunn&lt;/Author&gt;&lt;Year&gt;2018&lt;/Year&gt;&lt;RecNum&gt;17&lt;/RecNum&gt;&lt;DisplayText&gt;(4)&lt;/DisplayText&gt;&lt;record&gt;&lt;rec-number&gt;17&lt;/rec-number&gt;&lt;foreign-keys&gt;&lt;key app="EN" db-id="rsx0x9zxhav5t9erewsxwewaww9f0t0rxpea" timestamp="1561151129" guid="25478247-a2b0-4e3c-acc7-3e0525b70e04"&gt;17&lt;/key&gt;&lt;/foreign-keys&gt;&lt;ref-type name="Journal Article"&gt;17&lt;/ref-type&gt;&lt;contributors&gt;&lt;authors&gt;&lt;author&gt;Dunn, Abe&lt;/author&gt;&lt;author&gt;Grosse, Scott D&lt;/author&gt;&lt;author&gt;Zuvekas, Samuel H&lt;/author&gt;&lt;/authors&gt;&lt;/contributors&gt;&lt;titles&gt;&lt;title&gt;Adjusting health expenditures for inflation: a review of measures for health services research in the United States&lt;/title&gt;&lt;secondary-title&gt;Health services research&lt;/secondary-title&gt;&lt;/titles&gt;&lt;periodical&gt;&lt;full-title&gt;Health Services Research&lt;/full-title&gt;&lt;abbr-1&gt;Health Serv. Res.&lt;/abbr-1&gt;&lt;abbr-2&gt;Health Serv Res&lt;/abbr-2&gt;&lt;/periodical&gt;&lt;pages&gt;175-196&lt;/pages&gt;&lt;volume&gt;53&lt;/volume&gt;&lt;number&gt;1&lt;/number&gt;&lt;dates&gt;&lt;year&gt;2018&lt;/year&gt;&lt;/dates&gt;&lt;isbn&gt;0017-9124&lt;/isbn&gt;&lt;urls&gt;&lt;/urls&gt;&lt;/record&gt;&lt;/Cite&gt;&lt;/EndNote&gt;</w:instrText>
      </w:r>
      <w:r w:rsidR="00EF5882">
        <w:rPr>
          <w:rFonts w:ascii="Times New Roman" w:hAnsi="Times New Roman" w:cs="Times New Roman"/>
          <w:sz w:val="24"/>
          <w:szCs w:val="24"/>
        </w:rPr>
        <w:fldChar w:fldCharType="separate"/>
      </w:r>
      <w:r w:rsidR="00EF5882">
        <w:rPr>
          <w:rFonts w:ascii="Times New Roman" w:hAnsi="Times New Roman" w:cs="Times New Roman"/>
          <w:noProof/>
          <w:sz w:val="24"/>
          <w:szCs w:val="24"/>
        </w:rPr>
        <w:t>(4)</w:t>
      </w:r>
      <w:r w:rsidR="00EF5882">
        <w:rPr>
          <w:rFonts w:ascii="Times New Roman" w:hAnsi="Times New Roman" w:cs="Times New Roman"/>
          <w:sz w:val="24"/>
          <w:szCs w:val="24"/>
        </w:rPr>
        <w:fldChar w:fldCharType="end"/>
      </w:r>
      <w:r w:rsidRPr="00265901">
        <w:rPr>
          <w:rFonts w:ascii="Times New Roman" w:hAnsi="Times New Roman" w:cs="Times New Roman"/>
          <w:sz w:val="24"/>
          <w:szCs w:val="24"/>
        </w:rPr>
        <w:t xml:space="preserve">.  PCE is also preferred to the more commonly used Medical care CPI (MCPI), because the latter is appropriate only for out-of-pocket expenditures </w:t>
      </w:r>
      <w:r w:rsidR="00EF5882">
        <w:rPr>
          <w:rFonts w:ascii="Times New Roman" w:hAnsi="Times New Roman" w:cs="Times New Roman"/>
          <w:sz w:val="24"/>
          <w:szCs w:val="24"/>
        </w:rPr>
        <w:t xml:space="preserve"> </w:t>
      </w:r>
      <w:r w:rsidR="00EF5882">
        <w:rPr>
          <w:rFonts w:ascii="Times New Roman" w:hAnsi="Times New Roman" w:cs="Times New Roman"/>
          <w:sz w:val="24"/>
          <w:szCs w:val="24"/>
        </w:rPr>
        <w:fldChar w:fldCharType="begin"/>
      </w:r>
      <w:r w:rsidR="00EF5882">
        <w:rPr>
          <w:rFonts w:ascii="Times New Roman" w:hAnsi="Times New Roman" w:cs="Times New Roman"/>
          <w:sz w:val="24"/>
          <w:szCs w:val="24"/>
        </w:rPr>
        <w:instrText xml:space="preserve"> ADDIN EN.CITE &lt;EndNote&gt;&lt;Cite&gt;&lt;Author&gt;Dunn&lt;/Author&gt;&lt;Year&gt;2018&lt;/Year&gt;&lt;RecNum&gt;17&lt;/RecNum&gt;&lt;DisplayText&gt;(4)&lt;/DisplayText&gt;&lt;record&gt;&lt;rec-number&gt;17&lt;/rec-number&gt;&lt;foreign-keys&gt;&lt;key app="EN" db-id="rsx0x9zxhav5t9erewsxwewaww9f0t0rxpea" timestamp="1561151129" guid="25478247-a2b0-4e3c-acc7-3e0525b70e04"&gt;17&lt;/key&gt;&lt;/foreign-keys&gt;&lt;ref-type name="Journal Article"&gt;17&lt;/ref-type&gt;&lt;contributors&gt;&lt;authors&gt;&lt;author&gt;Dunn, Abe&lt;/author&gt;&lt;author&gt;Grosse, Scott D&lt;/author&gt;&lt;author&gt;Zuvekas, Samuel H&lt;/author&gt;&lt;/authors&gt;&lt;/contributors&gt;&lt;titles&gt;&lt;title&gt;Adjusting health expenditures for inflation: a review of measures for health services research in the United States&lt;/title&gt;&lt;secondary-title&gt;Health services research&lt;/secondary-title&gt;&lt;/titles&gt;&lt;periodical&gt;&lt;full-title&gt;Health Services Research&lt;/full-title&gt;&lt;abbr-1&gt;Health Serv. Res.&lt;/abbr-1&gt;&lt;abbr-2&gt;Health Serv Res&lt;/abbr-2&gt;&lt;/periodical&gt;&lt;pages&gt;175-196&lt;/pages&gt;&lt;volume&gt;53&lt;/volume&gt;&lt;number&gt;1&lt;/number&gt;&lt;dates&gt;&lt;year&gt;2018&lt;/year&gt;&lt;/dates&gt;&lt;isbn&gt;0017-9124&lt;/isbn&gt;&lt;urls&gt;&lt;/urls&gt;&lt;/record&gt;&lt;/Cite&gt;&lt;/EndNote&gt;</w:instrText>
      </w:r>
      <w:r w:rsidR="00EF5882">
        <w:rPr>
          <w:rFonts w:ascii="Times New Roman" w:hAnsi="Times New Roman" w:cs="Times New Roman"/>
          <w:sz w:val="24"/>
          <w:szCs w:val="24"/>
        </w:rPr>
        <w:fldChar w:fldCharType="separate"/>
      </w:r>
      <w:r w:rsidR="00EF5882">
        <w:rPr>
          <w:rFonts w:ascii="Times New Roman" w:hAnsi="Times New Roman" w:cs="Times New Roman"/>
          <w:noProof/>
          <w:sz w:val="24"/>
          <w:szCs w:val="24"/>
        </w:rPr>
        <w:t>(4)</w:t>
      </w:r>
      <w:r w:rsidR="00EF5882">
        <w:rPr>
          <w:rFonts w:ascii="Times New Roman" w:hAnsi="Times New Roman" w:cs="Times New Roman"/>
          <w:sz w:val="24"/>
          <w:szCs w:val="24"/>
        </w:rPr>
        <w:fldChar w:fldCharType="end"/>
      </w:r>
      <w:r w:rsidR="00EF5882">
        <w:rPr>
          <w:rFonts w:ascii="Times New Roman" w:hAnsi="Times New Roman" w:cs="Times New Roman"/>
          <w:sz w:val="24"/>
          <w:szCs w:val="24"/>
        </w:rPr>
        <w:t>.</w:t>
      </w:r>
    </w:p>
    <w:p w:rsidR="00EF5882" w:rsidRDefault="00EF5882" w:rsidP="00EF588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EF5882" w:rsidRPr="00EF5882" w:rsidRDefault="00EF5882" w:rsidP="00EF5882">
      <w:pPr>
        <w:pStyle w:val="EndNoteBibliography"/>
        <w:spacing w:after="0"/>
      </w:pPr>
      <w:r>
        <w:fldChar w:fldCharType="begin"/>
      </w:r>
      <w:r>
        <w:instrText xml:space="preserve"> ADDIN EN.REFLIST </w:instrText>
      </w:r>
      <w:r>
        <w:fldChar w:fldCharType="separate"/>
      </w:r>
      <w:r w:rsidRPr="00EF5882">
        <w:t>1.</w:t>
      </w:r>
      <w:r w:rsidRPr="00EF5882">
        <w:tab/>
        <w:t xml:space="preserve">NIS Description of Data Elements. Healthcare Cost and Utilization Project (HCUP). August 2018. Agency for Healthcare Research and Quality, Rockville, MD. </w:t>
      </w:r>
      <w:hyperlink r:id="rId5" w:history="1">
        <w:r w:rsidRPr="00EF5882">
          <w:rPr>
            <w:rStyle w:val="Hyperlink"/>
          </w:rPr>
          <w:t>www.hcup-us.ahrq.gov/db/nation/nis/nisdde.jsp</w:t>
        </w:r>
      </w:hyperlink>
      <w:r w:rsidRPr="00EF5882">
        <w:t xml:space="preserve">. Accessed May 25, 2019 </w:t>
      </w:r>
    </w:p>
    <w:p w:rsidR="00EF5882" w:rsidRPr="00EF5882" w:rsidRDefault="00EF5882" w:rsidP="00EF5882">
      <w:pPr>
        <w:pStyle w:val="EndNoteBibliography"/>
        <w:spacing w:after="0"/>
      </w:pPr>
      <w:r w:rsidRPr="00EF5882">
        <w:t>2.</w:t>
      </w:r>
      <w:r w:rsidRPr="00EF5882">
        <w:tab/>
        <w:t xml:space="preserve">HCUP NIS Trend Weights. Healthcare Cost and Utilization Project (HCUP). May 2015. Agency for Healthcare Research and Quality, Rockville, MD. </w:t>
      </w:r>
      <w:hyperlink r:id="rId6" w:history="1">
        <w:r w:rsidRPr="00EF5882">
          <w:rPr>
            <w:rStyle w:val="Hyperlink"/>
          </w:rPr>
          <w:t>www.hcup-us.ahrq.gov/db/nation/nis/trendwghts.jsp</w:t>
        </w:r>
      </w:hyperlink>
      <w:r w:rsidRPr="00EF5882">
        <w:t xml:space="preserve">. Accessed May 21, 2019 </w:t>
      </w:r>
    </w:p>
    <w:p w:rsidR="00EF5882" w:rsidRPr="00EF5882" w:rsidRDefault="00EF5882" w:rsidP="00EF5882">
      <w:pPr>
        <w:pStyle w:val="EndNoteBibliography"/>
        <w:spacing w:after="0"/>
      </w:pPr>
      <w:r w:rsidRPr="00EF5882">
        <w:t>3.</w:t>
      </w:r>
      <w:r w:rsidRPr="00EF5882">
        <w:tab/>
        <w:t xml:space="preserve">Cost-to-Charge Ratio Files. Healthcare Cost and Utilization Project (HCUP). September 2018. Agency for Healthcare Research and Quality, Rockville, MD. </w:t>
      </w:r>
      <w:hyperlink r:id="rId7" w:history="1">
        <w:r w:rsidRPr="00EF5882">
          <w:rPr>
            <w:rStyle w:val="Hyperlink"/>
          </w:rPr>
          <w:t>www.hcup-us.ahrq.gov/db/state/costtocharge.jsp</w:t>
        </w:r>
      </w:hyperlink>
      <w:r w:rsidRPr="00EF5882">
        <w:t xml:space="preserve">. Accessed May 25, 2019 </w:t>
      </w:r>
    </w:p>
    <w:p w:rsidR="00EF5882" w:rsidRPr="00EF5882" w:rsidRDefault="00EF5882" w:rsidP="00EF5882">
      <w:pPr>
        <w:pStyle w:val="EndNoteBibliography"/>
      </w:pPr>
      <w:r w:rsidRPr="00EF5882">
        <w:t>4.</w:t>
      </w:r>
      <w:r w:rsidRPr="00EF5882">
        <w:tab/>
        <w:t>Dunn A, Grosse SD, Zuvekas SH. Adjusting health expenditures for inflation: a review of measures for health services research in the United States. Health Serv Res 2018;53:175-196</w:t>
      </w:r>
    </w:p>
    <w:p w:rsidR="00EF5882" w:rsidRPr="00EF5882" w:rsidRDefault="00EF5882" w:rsidP="00EF5882">
      <w:pPr>
        <w:sectPr w:rsidR="00EF5882" w:rsidRPr="00EF5882" w:rsidSect="00553EC3">
          <w:pgSz w:w="12240" w:h="15840"/>
          <w:pgMar w:top="1080" w:right="1080" w:bottom="1080" w:left="1080" w:header="720" w:footer="720" w:gutter="0"/>
          <w:cols w:space="720"/>
          <w:docGrid w:linePitch="360"/>
        </w:sectPr>
      </w:pPr>
      <w:r>
        <w:fldChar w:fldCharType="end"/>
      </w:r>
      <w:bookmarkStart w:id="0" w:name="_GoBack"/>
      <w:bookmarkEnd w:id="0"/>
    </w:p>
    <w:p w:rsidR="00517C19" w:rsidRPr="00AE53CD" w:rsidRDefault="00517C19" w:rsidP="00517C19">
      <w:pPr>
        <w:rPr>
          <w:rFonts w:ascii="Times New Roman" w:hAnsi="Times New Roman" w:cs="Times New Roman"/>
          <w:sz w:val="24"/>
          <w:szCs w:val="24"/>
        </w:rPr>
      </w:pPr>
      <w:r>
        <w:rPr>
          <w:rFonts w:ascii="Times New Roman" w:hAnsi="Times New Roman" w:cs="Times New Roman"/>
          <w:sz w:val="24"/>
          <w:szCs w:val="24"/>
        </w:rPr>
        <w:lastRenderedPageBreak/>
        <w:t xml:space="preserve">Appendix Table </w:t>
      </w:r>
      <w:r w:rsidR="00270777">
        <w:rPr>
          <w:rFonts w:ascii="Times New Roman" w:hAnsi="Times New Roman" w:cs="Times New Roman"/>
          <w:sz w:val="24"/>
          <w:szCs w:val="24"/>
        </w:rPr>
        <w:t>A</w:t>
      </w:r>
      <w:r w:rsidR="00954892">
        <w:rPr>
          <w:rFonts w:ascii="Times New Roman" w:hAnsi="Times New Roman" w:cs="Times New Roman"/>
          <w:sz w:val="24"/>
          <w:szCs w:val="24"/>
        </w:rPr>
        <w:t>2</w:t>
      </w:r>
      <w:r>
        <w:rPr>
          <w:rFonts w:ascii="Times New Roman" w:hAnsi="Times New Roman" w:cs="Times New Roman"/>
          <w:sz w:val="24"/>
          <w:szCs w:val="24"/>
        </w:rPr>
        <w:t xml:space="preserve">. Mean and Median </w:t>
      </w:r>
      <w:r w:rsidRPr="00AE53CD">
        <w:rPr>
          <w:rFonts w:ascii="Times New Roman" w:hAnsi="Times New Roman" w:cs="Times New Roman"/>
          <w:sz w:val="24"/>
          <w:szCs w:val="24"/>
        </w:rPr>
        <w:t>Length of Stay, Charges and Costs For Hospitalizations Among Children and Youth Ages 2 – 19, 2006 - 2016</w:t>
      </w:r>
    </w:p>
    <w:tbl>
      <w:tblPr>
        <w:tblW w:w="5001" w:type="pct"/>
        <w:tblLayout w:type="fixed"/>
        <w:tblLook w:val="0000" w:firstRow="0" w:lastRow="0" w:firstColumn="0" w:lastColumn="0" w:noHBand="0" w:noVBand="0"/>
      </w:tblPr>
      <w:tblGrid>
        <w:gridCol w:w="3240"/>
        <w:gridCol w:w="1617"/>
        <w:gridCol w:w="1620"/>
        <w:gridCol w:w="1790"/>
        <w:gridCol w:w="1790"/>
        <w:gridCol w:w="1814"/>
        <w:gridCol w:w="1812"/>
      </w:tblGrid>
      <w:tr w:rsidR="00517C19" w:rsidRPr="00445DE2" w:rsidTr="006D4221">
        <w:tc>
          <w:tcPr>
            <w:tcW w:w="1184" w:type="pct"/>
            <w:tcBorders>
              <w:top w:val="single" w:sz="4" w:space="0" w:color="auto"/>
              <w:bottom w:val="single" w:sz="4" w:space="0" w:color="auto"/>
            </w:tcBorders>
            <w:tcMar>
              <w:top w:w="100" w:type="nil"/>
              <w:right w:w="100" w:type="nil"/>
            </w:tcMar>
            <w:vAlign w:val="center"/>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p>
        </w:tc>
        <w:tc>
          <w:tcPr>
            <w:tcW w:w="1183" w:type="pct"/>
            <w:gridSpan w:val="2"/>
            <w:tcBorders>
              <w:top w:val="single" w:sz="4" w:space="0" w:color="auto"/>
              <w:bottom w:val="single" w:sz="4" w:space="0" w:color="auto"/>
            </w:tcBorders>
            <w:tcMar>
              <w:top w:w="100" w:type="nil"/>
              <w:right w:w="100" w:type="nil"/>
            </w:tcMar>
            <w:vAlign w:val="center"/>
          </w:tcPr>
          <w:p w:rsidR="00517C19" w:rsidRPr="00A41DAC" w:rsidRDefault="00517C19" w:rsidP="006D42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Length of Stay</w:t>
            </w:r>
          </w:p>
        </w:tc>
        <w:tc>
          <w:tcPr>
            <w:tcW w:w="1308" w:type="pct"/>
            <w:gridSpan w:val="2"/>
            <w:tcBorders>
              <w:top w:val="single" w:sz="4" w:space="0" w:color="auto"/>
              <w:bottom w:val="single" w:sz="4" w:space="0" w:color="auto"/>
            </w:tcBorders>
            <w:tcMar>
              <w:top w:w="100" w:type="nil"/>
              <w:right w:w="100" w:type="nil"/>
            </w:tcMar>
            <w:vAlign w:val="center"/>
          </w:tcPr>
          <w:p w:rsidR="00517C19" w:rsidRPr="00A41DAC" w:rsidRDefault="00517C19" w:rsidP="006D42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Charges</w:t>
            </w:r>
          </w:p>
        </w:tc>
        <w:tc>
          <w:tcPr>
            <w:tcW w:w="1325" w:type="pct"/>
            <w:gridSpan w:val="2"/>
            <w:tcBorders>
              <w:top w:val="single" w:sz="4" w:space="0" w:color="auto"/>
              <w:bottom w:val="single" w:sz="4" w:space="0" w:color="auto"/>
            </w:tcBorders>
            <w:tcMar>
              <w:top w:w="100" w:type="nil"/>
              <w:right w:w="100" w:type="nil"/>
            </w:tcMar>
            <w:vAlign w:val="center"/>
          </w:tcPr>
          <w:p w:rsidR="00517C19" w:rsidRPr="00A41DAC" w:rsidRDefault="00517C19" w:rsidP="006D42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Costs</w:t>
            </w:r>
          </w:p>
        </w:tc>
      </w:tr>
      <w:tr w:rsidR="00517C19" w:rsidRPr="00445DE2" w:rsidTr="006D4221">
        <w:tc>
          <w:tcPr>
            <w:tcW w:w="1184" w:type="pct"/>
            <w:tcBorders>
              <w:top w:val="single" w:sz="4" w:space="0" w:color="auto"/>
            </w:tcBorders>
            <w:tcMar>
              <w:top w:w="100" w:type="nil"/>
              <w:right w:w="100" w:type="nil"/>
            </w:tcMar>
            <w:vAlign w:val="center"/>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p>
        </w:tc>
        <w:tc>
          <w:tcPr>
            <w:tcW w:w="591" w:type="pct"/>
            <w:tcBorders>
              <w:top w:val="single" w:sz="4" w:space="0" w:color="auto"/>
            </w:tcBorders>
            <w:tcMar>
              <w:top w:w="100" w:type="nil"/>
              <w:right w:w="100" w:type="nil"/>
            </w:tcMar>
            <w:vAlign w:val="center"/>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Mean</w:t>
            </w:r>
          </w:p>
        </w:tc>
        <w:tc>
          <w:tcPr>
            <w:tcW w:w="592" w:type="pct"/>
            <w:tcBorders>
              <w:top w:val="single" w:sz="4" w:space="0" w:color="auto"/>
            </w:tcBorders>
            <w:vAlign w:val="center"/>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Median</w:t>
            </w:r>
          </w:p>
        </w:tc>
        <w:tc>
          <w:tcPr>
            <w:tcW w:w="654" w:type="pct"/>
            <w:tcBorders>
              <w:top w:val="single" w:sz="4" w:space="0" w:color="auto"/>
            </w:tcBorders>
            <w:tcMar>
              <w:top w:w="100" w:type="nil"/>
              <w:right w:w="100" w:type="nil"/>
            </w:tcMar>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Mean</w:t>
            </w:r>
          </w:p>
        </w:tc>
        <w:tc>
          <w:tcPr>
            <w:tcW w:w="654" w:type="pct"/>
            <w:tcBorders>
              <w:top w:val="single" w:sz="4" w:space="0" w:color="auto"/>
            </w:tcBorders>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Median</w:t>
            </w:r>
          </w:p>
        </w:tc>
        <w:tc>
          <w:tcPr>
            <w:tcW w:w="663" w:type="pct"/>
            <w:tcBorders>
              <w:top w:val="single" w:sz="4" w:space="0" w:color="auto"/>
            </w:tcBorders>
            <w:tcMar>
              <w:top w:w="100" w:type="nil"/>
              <w:right w:w="100" w:type="nil"/>
            </w:tcMar>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Mean</w:t>
            </w:r>
          </w:p>
        </w:tc>
        <w:tc>
          <w:tcPr>
            <w:tcW w:w="662" w:type="pct"/>
            <w:tcBorders>
              <w:top w:val="single" w:sz="4" w:space="0" w:color="auto"/>
            </w:tcBorders>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Median</w:t>
            </w:r>
          </w:p>
        </w:tc>
      </w:tr>
      <w:tr w:rsidR="00517C19" w:rsidRPr="00445DE2" w:rsidTr="006D4221">
        <w:tc>
          <w:tcPr>
            <w:tcW w:w="1184" w:type="pct"/>
            <w:tcBorders>
              <w:top w:val="single" w:sz="4" w:space="0" w:color="auto"/>
            </w:tcBorders>
            <w:tcMar>
              <w:top w:w="100" w:type="nil"/>
              <w:right w:w="100" w:type="nil"/>
            </w:tcMar>
            <w:vAlign w:val="center"/>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All hospitalizations</w:t>
            </w:r>
          </w:p>
        </w:tc>
        <w:tc>
          <w:tcPr>
            <w:tcW w:w="591" w:type="pct"/>
            <w:tcBorders>
              <w:top w:val="single" w:sz="4" w:space="0" w:color="auto"/>
            </w:tcBorders>
            <w:tcMar>
              <w:top w:w="100" w:type="nil"/>
              <w:right w:w="100" w:type="nil"/>
            </w:tcMar>
            <w:vAlign w:val="center"/>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p>
        </w:tc>
        <w:tc>
          <w:tcPr>
            <w:tcW w:w="592" w:type="pct"/>
            <w:tcBorders>
              <w:top w:val="single" w:sz="4" w:space="0" w:color="auto"/>
            </w:tcBorders>
            <w:vAlign w:val="center"/>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654" w:type="pct"/>
            <w:tcBorders>
              <w:top w:val="single" w:sz="4" w:space="0" w:color="auto"/>
            </w:tcBorders>
            <w:tcMar>
              <w:top w:w="100" w:type="nil"/>
              <w:right w:w="100" w:type="nil"/>
            </w:tcMar>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29,333</w:t>
            </w:r>
          </w:p>
        </w:tc>
        <w:tc>
          <w:tcPr>
            <w:tcW w:w="654" w:type="pct"/>
            <w:tcBorders>
              <w:top w:val="single" w:sz="4" w:space="0" w:color="auto"/>
            </w:tcBorders>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sidRPr="003D100E">
              <w:rPr>
                <w:rFonts w:ascii="Times New Roman" w:hAnsi="Times New Roman" w:cs="Times New Roman"/>
                <w:sz w:val="20"/>
                <w:szCs w:val="20"/>
              </w:rPr>
              <w:t>14</w:t>
            </w:r>
            <w:r>
              <w:rPr>
                <w:rFonts w:ascii="Times New Roman" w:hAnsi="Times New Roman" w:cs="Times New Roman"/>
                <w:sz w:val="20"/>
                <w:szCs w:val="20"/>
              </w:rPr>
              <w:t>,</w:t>
            </w:r>
            <w:r w:rsidRPr="003D100E">
              <w:rPr>
                <w:rFonts w:ascii="Times New Roman" w:hAnsi="Times New Roman" w:cs="Times New Roman"/>
                <w:sz w:val="20"/>
                <w:szCs w:val="20"/>
              </w:rPr>
              <w:t>219</w:t>
            </w:r>
          </w:p>
        </w:tc>
        <w:tc>
          <w:tcPr>
            <w:tcW w:w="663" w:type="pct"/>
            <w:tcBorders>
              <w:top w:val="single" w:sz="4" w:space="0" w:color="auto"/>
            </w:tcBorders>
            <w:tcMar>
              <w:top w:w="100" w:type="nil"/>
              <w:right w:w="100" w:type="nil"/>
            </w:tcMar>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sidRPr="00F701B6">
              <w:rPr>
                <w:rFonts w:ascii="Times New Roman" w:hAnsi="Times New Roman" w:cs="Times New Roman"/>
                <w:sz w:val="20"/>
                <w:szCs w:val="20"/>
              </w:rPr>
              <w:t>9</w:t>
            </w:r>
            <w:r>
              <w:rPr>
                <w:rFonts w:ascii="Times New Roman" w:hAnsi="Times New Roman" w:cs="Times New Roman"/>
                <w:sz w:val="20"/>
                <w:szCs w:val="20"/>
              </w:rPr>
              <w:t>,</w:t>
            </w:r>
            <w:r w:rsidRPr="00F701B6">
              <w:rPr>
                <w:rFonts w:ascii="Times New Roman" w:hAnsi="Times New Roman" w:cs="Times New Roman"/>
                <w:sz w:val="20"/>
                <w:szCs w:val="20"/>
              </w:rPr>
              <w:t>19</w:t>
            </w:r>
            <w:r>
              <w:rPr>
                <w:rFonts w:ascii="Times New Roman" w:hAnsi="Times New Roman" w:cs="Times New Roman"/>
                <w:sz w:val="20"/>
                <w:szCs w:val="20"/>
              </w:rPr>
              <w:t>2</w:t>
            </w:r>
          </w:p>
        </w:tc>
        <w:tc>
          <w:tcPr>
            <w:tcW w:w="662" w:type="pct"/>
            <w:tcBorders>
              <w:top w:val="single" w:sz="4" w:space="0" w:color="auto"/>
            </w:tcBorders>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sidRPr="003D100E">
              <w:rPr>
                <w:rFonts w:ascii="Times New Roman" w:hAnsi="Times New Roman" w:cs="Times New Roman"/>
                <w:sz w:val="20"/>
                <w:szCs w:val="20"/>
              </w:rPr>
              <w:t>4</w:t>
            </w:r>
            <w:r>
              <w:rPr>
                <w:rFonts w:ascii="Times New Roman" w:hAnsi="Times New Roman" w:cs="Times New Roman"/>
                <w:sz w:val="20"/>
                <w:szCs w:val="20"/>
              </w:rPr>
              <w:t>,</w:t>
            </w:r>
            <w:r w:rsidRPr="003D100E">
              <w:rPr>
                <w:rFonts w:ascii="Times New Roman" w:hAnsi="Times New Roman" w:cs="Times New Roman"/>
                <w:sz w:val="20"/>
                <w:szCs w:val="20"/>
              </w:rPr>
              <w:t>47</w:t>
            </w:r>
            <w:r>
              <w:rPr>
                <w:rFonts w:ascii="Times New Roman" w:hAnsi="Times New Roman" w:cs="Times New Roman"/>
                <w:sz w:val="20"/>
                <w:szCs w:val="20"/>
              </w:rPr>
              <w:t>2</w:t>
            </w:r>
          </w:p>
        </w:tc>
      </w:tr>
      <w:tr w:rsidR="00517C19" w:rsidRPr="00445DE2" w:rsidTr="006D4221">
        <w:tc>
          <w:tcPr>
            <w:tcW w:w="1184" w:type="pct"/>
            <w:tcMar>
              <w:top w:w="100" w:type="nil"/>
              <w:right w:w="100" w:type="nil"/>
            </w:tcMar>
            <w:vAlign w:val="center"/>
          </w:tcPr>
          <w:p w:rsidR="00517C19" w:rsidRPr="00713D18" w:rsidRDefault="00517C19" w:rsidP="006D4221">
            <w:pPr>
              <w:autoSpaceDE w:val="0"/>
              <w:autoSpaceDN w:val="0"/>
              <w:adjustRightInd w:val="0"/>
              <w:spacing w:after="0" w:line="240" w:lineRule="auto"/>
              <w:rPr>
                <w:rFonts w:ascii="Times New Roman" w:hAnsi="Times New Roman" w:cs="Times New Roman"/>
                <w:sz w:val="20"/>
                <w:szCs w:val="20"/>
              </w:rPr>
            </w:pPr>
            <w:r w:rsidRPr="00713D18">
              <w:rPr>
                <w:rFonts w:ascii="Times New Roman" w:hAnsi="Times New Roman" w:cs="Times New Roman"/>
                <w:sz w:val="20"/>
                <w:szCs w:val="20"/>
              </w:rPr>
              <w:t xml:space="preserve">    - By sex</w:t>
            </w:r>
          </w:p>
        </w:tc>
        <w:tc>
          <w:tcPr>
            <w:tcW w:w="591" w:type="pct"/>
            <w:tcMar>
              <w:top w:w="100" w:type="nil"/>
              <w:right w:w="100" w:type="nil"/>
            </w:tcMar>
            <w:vAlign w:val="center"/>
          </w:tcPr>
          <w:p w:rsidR="00517C19" w:rsidRPr="00713D18" w:rsidRDefault="00517C19" w:rsidP="006D4221">
            <w:pPr>
              <w:autoSpaceDE w:val="0"/>
              <w:autoSpaceDN w:val="0"/>
              <w:adjustRightInd w:val="0"/>
              <w:spacing w:after="0" w:line="240" w:lineRule="auto"/>
              <w:rPr>
                <w:rFonts w:ascii="Times New Roman" w:hAnsi="Times New Roman" w:cs="Times New Roman"/>
                <w:sz w:val="20"/>
                <w:szCs w:val="20"/>
              </w:rPr>
            </w:pPr>
          </w:p>
        </w:tc>
        <w:tc>
          <w:tcPr>
            <w:tcW w:w="592" w:type="pct"/>
            <w:vAlign w:val="center"/>
          </w:tcPr>
          <w:p w:rsidR="00517C19" w:rsidRPr="00713D18" w:rsidRDefault="00517C19" w:rsidP="006D4221">
            <w:pPr>
              <w:autoSpaceDE w:val="0"/>
              <w:autoSpaceDN w:val="0"/>
              <w:adjustRightInd w:val="0"/>
              <w:spacing w:after="0" w:line="240" w:lineRule="auto"/>
              <w:rPr>
                <w:rFonts w:ascii="Times New Roman" w:hAnsi="Times New Roman" w:cs="Times New Roman"/>
                <w:sz w:val="20"/>
                <w:szCs w:val="20"/>
              </w:rPr>
            </w:pPr>
          </w:p>
        </w:tc>
        <w:tc>
          <w:tcPr>
            <w:tcW w:w="654" w:type="pct"/>
            <w:tcMar>
              <w:top w:w="100" w:type="nil"/>
              <w:right w:w="100" w:type="nil"/>
            </w:tcMar>
          </w:tcPr>
          <w:p w:rsidR="00517C19" w:rsidRPr="00713D18" w:rsidRDefault="00517C19" w:rsidP="006D4221">
            <w:pPr>
              <w:autoSpaceDE w:val="0"/>
              <w:autoSpaceDN w:val="0"/>
              <w:adjustRightInd w:val="0"/>
              <w:spacing w:after="0" w:line="240" w:lineRule="auto"/>
              <w:rPr>
                <w:rFonts w:ascii="Times New Roman" w:hAnsi="Times New Roman" w:cs="Times New Roman"/>
                <w:sz w:val="20"/>
                <w:szCs w:val="20"/>
              </w:rPr>
            </w:pPr>
          </w:p>
        </w:tc>
        <w:tc>
          <w:tcPr>
            <w:tcW w:w="654" w:type="pct"/>
          </w:tcPr>
          <w:p w:rsidR="00517C19" w:rsidRPr="00713D18" w:rsidRDefault="00517C19" w:rsidP="006D4221">
            <w:pPr>
              <w:autoSpaceDE w:val="0"/>
              <w:autoSpaceDN w:val="0"/>
              <w:adjustRightInd w:val="0"/>
              <w:spacing w:after="0" w:line="240" w:lineRule="auto"/>
              <w:rPr>
                <w:rFonts w:ascii="Times New Roman" w:hAnsi="Times New Roman" w:cs="Times New Roman"/>
                <w:sz w:val="20"/>
                <w:szCs w:val="20"/>
              </w:rPr>
            </w:pPr>
          </w:p>
        </w:tc>
        <w:tc>
          <w:tcPr>
            <w:tcW w:w="663" w:type="pct"/>
            <w:tcMar>
              <w:top w:w="100" w:type="nil"/>
              <w:right w:w="100" w:type="nil"/>
            </w:tcMar>
          </w:tcPr>
          <w:p w:rsidR="00517C19" w:rsidRPr="001A1B3B" w:rsidRDefault="00517C19" w:rsidP="006D4221">
            <w:pPr>
              <w:autoSpaceDE w:val="0"/>
              <w:autoSpaceDN w:val="0"/>
              <w:adjustRightInd w:val="0"/>
              <w:spacing w:after="0" w:line="240" w:lineRule="auto"/>
              <w:rPr>
                <w:rFonts w:ascii="Times New Roman" w:hAnsi="Times New Roman" w:cs="Times New Roman"/>
                <w:sz w:val="20"/>
                <w:szCs w:val="20"/>
              </w:rPr>
            </w:pPr>
          </w:p>
        </w:tc>
        <w:tc>
          <w:tcPr>
            <w:tcW w:w="662" w:type="pct"/>
          </w:tcPr>
          <w:p w:rsidR="00517C19" w:rsidRPr="001A1B3B" w:rsidRDefault="00517C19" w:rsidP="006D4221">
            <w:pPr>
              <w:autoSpaceDE w:val="0"/>
              <w:autoSpaceDN w:val="0"/>
              <w:adjustRightInd w:val="0"/>
              <w:spacing w:after="0" w:line="240" w:lineRule="auto"/>
              <w:rPr>
                <w:rFonts w:ascii="Times New Roman" w:hAnsi="Times New Roman" w:cs="Times New Roman"/>
                <w:sz w:val="20"/>
                <w:szCs w:val="20"/>
              </w:rPr>
            </w:pPr>
          </w:p>
        </w:tc>
      </w:tr>
      <w:tr w:rsidR="00517C19" w:rsidRPr="00445DE2" w:rsidTr="006D4221">
        <w:tc>
          <w:tcPr>
            <w:tcW w:w="1184" w:type="pct"/>
            <w:tcMar>
              <w:top w:w="100" w:type="nil"/>
              <w:right w:w="100" w:type="nil"/>
            </w:tcMar>
            <w:vAlign w:val="center"/>
          </w:tcPr>
          <w:p w:rsidR="00517C19" w:rsidRPr="00713D18" w:rsidRDefault="00517C19" w:rsidP="006D4221">
            <w:pPr>
              <w:autoSpaceDE w:val="0"/>
              <w:autoSpaceDN w:val="0"/>
              <w:adjustRightInd w:val="0"/>
              <w:spacing w:after="0" w:line="240" w:lineRule="auto"/>
              <w:rPr>
                <w:rFonts w:ascii="Times New Roman" w:hAnsi="Times New Roman" w:cs="Times New Roman"/>
                <w:sz w:val="20"/>
                <w:szCs w:val="20"/>
              </w:rPr>
            </w:pPr>
            <w:r w:rsidRPr="00713D18">
              <w:rPr>
                <w:rFonts w:ascii="Times New Roman" w:hAnsi="Times New Roman" w:cs="Times New Roman"/>
                <w:sz w:val="20"/>
                <w:szCs w:val="20"/>
              </w:rPr>
              <w:t xml:space="preserve">          -Males</w:t>
            </w:r>
          </w:p>
        </w:tc>
        <w:tc>
          <w:tcPr>
            <w:tcW w:w="591" w:type="pct"/>
            <w:tcMar>
              <w:top w:w="100" w:type="nil"/>
              <w:right w:w="100" w:type="nil"/>
            </w:tcMar>
            <w:vAlign w:val="center"/>
          </w:tcPr>
          <w:p w:rsidR="00517C19" w:rsidRPr="00713D18" w:rsidRDefault="00517C19" w:rsidP="006D4221">
            <w:pPr>
              <w:autoSpaceDE w:val="0"/>
              <w:autoSpaceDN w:val="0"/>
              <w:adjustRightInd w:val="0"/>
              <w:spacing w:after="0" w:line="240" w:lineRule="auto"/>
              <w:rPr>
                <w:rFonts w:ascii="Times New Roman" w:hAnsi="Times New Roman" w:cs="Times New Roman"/>
                <w:sz w:val="20"/>
                <w:szCs w:val="20"/>
              </w:rPr>
            </w:pPr>
            <w:r w:rsidRPr="00713D18">
              <w:rPr>
                <w:rFonts w:ascii="Times New Roman" w:hAnsi="Times New Roman" w:cs="Times New Roman"/>
                <w:sz w:val="20"/>
                <w:szCs w:val="20"/>
              </w:rPr>
              <w:t>4.2</w:t>
            </w:r>
          </w:p>
        </w:tc>
        <w:tc>
          <w:tcPr>
            <w:tcW w:w="592" w:type="pct"/>
            <w:vAlign w:val="center"/>
          </w:tcPr>
          <w:p w:rsidR="00517C19" w:rsidRPr="00713D18" w:rsidRDefault="00517C19" w:rsidP="006D4221">
            <w:pPr>
              <w:autoSpaceDE w:val="0"/>
              <w:autoSpaceDN w:val="0"/>
              <w:adjustRightInd w:val="0"/>
              <w:spacing w:after="0" w:line="240" w:lineRule="auto"/>
              <w:rPr>
                <w:rFonts w:ascii="Times New Roman" w:hAnsi="Times New Roman" w:cs="Times New Roman"/>
                <w:sz w:val="20"/>
                <w:szCs w:val="20"/>
              </w:rPr>
            </w:pPr>
            <w:r w:rsidRPr="00713D18">
              <w:rPr>
                <w:rFonts w:ascii="Times New Roman" w:hAnsi="Times New Roman" w:cs="Times New Roman"/>
                <w:sz w:val="20"/>
                <w:szCs w:val="20"/>
              </w:rPr>
              <w:t>2</w:t>
            </w:r>
          </w:p>
        </w:tc>
        <w:tc>
          <w:tcPr>
            <w:tcW w:w="654" w:type="pct"/>
            <w:tcMar>
              <w:top w:w="100" w:type="nil"/>
              <w:right w:w="100" w:type="nil"/>
            </w:tcMar>
          </w:tcPr>
          <w:p w:rsidR="00517C19" w:rsidRPr="00713D18" w:rsidRDefault="00517C19" w:rsidP="006D4221">
            <w:pPr>
              <w:autoSpaceDE w:val="0"/>
              <w:autoSpaceDN w:val="0"/>
              <w:adjustRightInd w:val="0"/>
              <w:spacing w:after="0" w:line="240" w:lineRule="auto"/>
              <w:rPr>
                <w:rFonts w:ascii="Times New Roman" w:hAnsi="Times New Roman" w:cs="Times New Roman"/>
                <w:sz w:val="20"/>
                <w:szCs w:val="20"/>
              </w:rPr>
            </w:pPr>
            <w:r w:rsidRPr="00713D18">
              <w:rPr>
                <w:rFonts w:ascii="Times New Roman" w:hAnsi="Times New Roman" w:cs="Times New Roman"/>
                <w:sz w:val="20"/>
                <w:szCs w:val="20"/>
              </w:rPr>
              <w:t>34</w:t>
            </w:r>
            <w:r>
              <w:rPr>
                <w:rFonts w:ascii="Times New Roman" w:hAnsi="Times New Roman" w:cs="Times New Roman"/>
                <w:sz w:val="20"/>
                <w:szCs w:val="20"/>
              </w:rPr>
              <w:t>,</w:t>
            </w:r>
            <w:r w:rsidRPr="00713D18">
              <w:rPr>
                <w:rFonts w:ascii="Times New Roman" w:hAnsi="Times New Roman" w:cs="Times New Roman"/>
                <w:sz w:val="20"/>
                <w:szCs w:val="20"/>
              </w:rPr>
              <w:t>433</w:t>
            </w:r>
          </w:p>
        </w:tc>
        <w:tc>
          <w:tcPr>
            <w:tcW w:w="654" w:type="pct"/>
          </w:tcPr>
          <w:p w:rsidR="00517C19" w:rsidRPr="00713D18" w:rsidRDefault="00517C19" w:rsidP="006D4221">
            <w:pPr>
              <w:autoSpaceDE w:val="0"/>
              <w:autoSpaceDN w:val="0"/>
              <w:adjustRightInd w:val="0"/>
              <w:spacing w:after="0" w:line="240" w:lineRule="auto"/>
              <w:rPr>
                <w:rFonts w:ascii="Times New Roman" w:hAnsi="Times New Roman" w:cs="Times New Roman"/>
                <w:sz w:val="20"/>
                <w:szCs w:val="20"/>
              </w:rPr>
            </w:pPr>
            <w:r w:rsidRPr="00713D18">
              <w:rPr>
                <w:rFonts w:ascii="Times New Roman" w:hAnsi="Times New Roman" w:cs="Times New Roman"/>
                <w:sz w:val="20"/>
                <w:szCs w:val="20"/>
              </w:rPr>
              <w:t>16</w:t>
            </w:r>
            <w:r>
              <w:rPr>
                <w:rFonts w:ascii="Times New Roman" w:hAnsi="Times New Roman" w:cs="Times New Roman"/>
                <w:sz w:val="20"/>
                <w:szCs w:val="20"/>
              </w:rPr>
              <w:t>,</w:t>
            </w:r>
            <w:r w:rsidRPr="00713D18">
              <w:rPr>
                <w:rFonts w:ascii="Times New Roman" w:hAnsi="Times New Roman" w:cs="Times New Roman"/>
                <w:sz w:val="20"/>
                <w:szCs w:val="20"/>
              </w:rPr>
              <w:t>038</w:t>
            </w:r>
          </w:p>
        </w:tc>
        <w:tc>
          <w:tcPr>
            <w:tcW w:w="663" w:type="pct"/>
            <w:tcMar>
              <w:top w:w="100" w:type="nil"/>
              <w:right w:w="100" w:type="nil"/>
            </w:tcMar>
          </w:tcPr>
          <w:p w:rsidR="00517C19" w:rsidRPr="001A1B3B" w:rsidRDefault="00517C19" w:rsidP="006D4221">
            <w:pPr>
              <w:autoSpaceDE w:val="0"/>
              <w:autoSpaceDN w:val="0"/>
              <w:adjustRightInd w:val="0"/>
              <w:spacing w:after="0" w:line="240" w:lineRule="auto"/>
              <w:rPr>
                <w:rFonts w:ascii="Times New Roman" w:hAnsi="Times New Roman" w:cs="Times New Roman"/>
                <w:sz w:val="20"/>
                <w:szCs w:val="20"/>
              </w:rPr>
            </w:pPr>
            <w:r w:rsidRPr="001A1B3B">
              <w:rPr>
                <w:rFonts w:ascii="Times New Roman" w:hAnsi="Times New Roman" w:cs="Times New Roman"/>
                <w:sz w:val="20"/>
                <w:szCs w:val="20"/>
              </w:rPr>
              <w:t>10</w:t>
            </w:r>
            <w:r>
              <w:rPr>
                <w:rFonts w:ascii="Times New Roman" w:hAnsi="Times New Roman" w:cs="Times New Roman"/>
                <w:sz w:val="20"/>
                <w:szCs w:val="20"/>
              </w:rPr>
              <w:t>,</w:t>
            </w:r>
            <w:r w:rsidRPr="001A1B3B">
              <w:rPr>
                <w:rFonts w:ascii="Times New Roman" w:hAnsi="Times New Roman" w:cs="Times New Roman"/>
                <w:sz w:val="20"/>
                <w:szCs w:val="20"/>
              </w:rPr>
              <w:t>838</w:t>
            </w:r>
          </w:p>
        </w:tc>
        <w:tc>
          <w:tcPr>
            <w:tcW w:w="662" w:type="pct"/>
          </w:tcPr>
          <w:p w:rsidR="00517C19" w:rsidRPr="00FC4337" w:rsidRDefault="00517C19" w:rsidP="006D4221">
            <w:pPr>
              <w:autoSpaceDE w:val="0"/>
              <w:autoSpaceDN w:val="0"/>
              <w:adjustRightInd w:val="0"/>
              <w:spacing w:after="0" w:line="240" w:lineRule="auto"/>
              <w:rPr>
                <w:rFonts w:ascii="Times New Roman" w:hAnsi="Times New Roman" w:cs="Times New Roman"/>
                <w:sz w:val="20"/>
                <w:szCs w:val="20"/>
              </w:rPr>
            </w:pPr>
            <w:r w:rsidRPr="00FC4337">
              <w:rPr>
                <w:rFonts w:ascii="Times New Roman" w:hAnsi="Times New Roman" w:cs="Times New Roman"/>
                <w:sz w:val="20"/>
                <w:szCs w:val="20"/>
              </w:rPr>
              <w:t>5</w:t>
            </w:r>
            <w:r>
              <w:rPr>
                <w:rFonts w:ascii="Times New Roman" w:hAnsi="Times New Roman" w:cs="Times New Roman"/>
                <w:sz w:val="20"/>
                <w:szCs w:val="20"/>
              </w:rPr>
              <w:t>,</w:t>
            </w:r>
            <w:r w:rsidRPr="00FC4337">
              <w:rPr>
                <w:rFonts w:ascii="Times New Roman" w:hAnsi="Times New Roman" w:cs="Times New Roman"/>
                <w:sz w:val="20"/>
                <w:szCs w:val="20"/>
              </w:rPr>
              <w:t>105</w:t>
            </w:r>
          </w:p>
        </w:tc>
      </w:tr>
      <w:tr w:rsidR="00517C19" w:rsidRPr="00445DE2" w:rsidTr="006D4221">
        <w:tc>
          <w:tcPr>
            <w:tcW w:w="1184" w:type="pct"/>
            <w:tcMar>
              <w:top w:w="100" w:type="nil"/>
              <w:right w:w="100" w:type="nil"/>
            </w:tcMar>
            <w:vAlign w:val="center"/>
          </w:tcPr>
          <w:p w:rsidR="00517C19" w:rsidRPr="00713D18" w:rsidRDefault="00517C19" w:rsidP="006D4221">
            <w:pPr>
              <w:autoSpaceDE w:val="0"/>
              <w:autoSpaceDN w:val="0"/>
              <w:adjustRightInd w:val="0"/>
              <w:spacing w:after="0" w:line="240" w:lineRule="auto"/>
              <w:rPr>
                <w:rFonts w:ascii="Times New Roman" w:hAnsi="Times New Roman" w:cs="Times New Roman"/>
                <w:sz w:val="20"/>
                <w:szCs w:val="20"/>
              </w:rPr>
            </w:pPr>
            <w:r w:rsidRPr="00713D18">
              <w:rPr>
                <w:rFonts w:ascii="Times New Roman" w:hAnsi="Times New Roman" w:cs="Times New Roman"/>
                <w:sz w:val="20"/>
                <w:szCs w:val="20"/>
              </w:rPr>
              <w:t xml:space="preserve">          -Females</w:t>
            </w:r>
          </w:p>
        </w:tc>
        <w:tc>
          <w:tcPr>
            <w:tcW w:w="591" w:type="pct"/>
            <w:tcMar>
              <w:top w:w="100" w:type="nil"/>
              <w:right w:w="100" w:type="nil"/>
            </w:tcMar>
            <w:vAlign w:val="center"/>
          </w:tcPr>
          <w:p w:rsidR="00517C19" w:rsidRPr="00713D18" w:rsidRDefault="00517C19" w:rsidP="006D4221">
            <w:pPr>
              <w:autoSpaceDE w:val="0"/>
              <w:autoSpaceDN w:val="0"/>
              <w:adjustRightInd w:val="0"/>
              <w:spacing w:after="0" w:line="240" w:lineRule="auto"/>
              <w:rPr>
                <w:rFonts w:ascii="Times New Roman" w:hAnsi="Times New Roman" w:cs="Times New Roman"/>
                <w:sz w:val="20"/>
                <w:szCs w:val="20"/>
              </w:rPr>
            </w:pPr>
            <w:r w:rsidRPr="00713D18">
              <w:rPr>
                <w:rFonts w:ascii="Times New Roman" w:hAnsi="Times New Roman" w:cs="Times New Roman"/>
                <w:sz w:val="20"/>
                <w:szCs w:val="20"/>
              </w:rPr>
              <w:t>3.6</w:t>
            </w:r>
          </w:p>
        </w:tc>
        <w:tc>
          <w:tcPr>
            <w:tcW w:w="592" w:type="pct"/>
            <w:vAlign w:val="center"/>
          </w:tcPr>
          <w:p w:rsidR="00517C19" w:rsidRPr="00713D18" w:rsidRDefault="00517C19" w:rsidP="006D4221">
            <w:pPr>
              <w:autoSpaceDE w:val="0"/>
              <w:autoSpaceDN w:val="0"/>
              <w:adjustRightInd w:val="0"/>
              <w:spacing w:after="0" w:line="240" w:lineRule="auto"/>
              <w:rPr>
                <w:rFonts w:ascii="Times New Roman" w:hAnsi="Times New Roman" w:cs="Times New Roman"/>
                <w:sz w:val="20"/>
                <w:szCs w:val="20"/>
              </w:rPr>
            </w:pPr>
            <w:r w:rsidRPr="00713D18">
              <w:rPr>
                <w:rFonts w:ascii="Times New Roman" w:hAnsi="Times New Roman" w:cs="Times New Roman"/>
                <w:sz w:val="20"/>
                <w:szCs w:val="20"/>
              </w:rPr>
              <w:t>2</w:t>
            </w:r>
          </w:p>
        </w:tc>
        <w:tc>
          <w:tcPr>
            <w:tcW w:w="654" w:type="pct"/>
            <w:tcMar>
              <w:top w:w="100" w:type="nil"/>
              <w:right w:w="100" w:type="nil"/>
            </w:tcMar>
          </w:tcPr>
          <w:p w:rsidR="00517C19" w:rsidRPr="00713D18" w:rsidRDefault="00517C19" w:rsidP="006D4221">
            <w:pPr>
              <w:autoSpaceDE w:val="0"/>
              <w:autoSpaceDN w:val="0"/>
              <w:adjustRightInd w:val="0"/>
              <w:spacing w:after="0" w:line="240" w:lineRule="auto"/>
              <w:rPr>
                <w:rFonts w:ascii="Times New Roman" w:hAnsi="Times New Roman" w:cs="Times New Roman"/>
                <w:sz w:val="20"/>
                <w:szCs w:val="20"/>
              </w:rPr>
            </w:pPr>
            <w:r w:rsidRPr="00713D18">
              <w:rPr>
                <w:rFonts w:ascii="Times New Roman" w:hAnsi="Times New Roman" w:cs="Times New Roman"/>
                <w:sz w:val="20"/>
                <w:szCs w:val="20"/>
              </w:rPr>
              <w:t>25</w:t>
            </w:r>
            <w:r>
              <w:rPr>
                <w:rFonts w:ascii="Times New Roman" w:hAnsi="Times New Roman" w:cs="Times New Roman"/>
                <w:sz w:val="20"/>
                <w:szCs w:val="20"/>
              </w:rPr>
              <w:t>,</w:t>
            </w:r>
            <w:r w:rsidRPr="00713D18">
              <w:rPr>
                <w:rFonts w:ascii="Times New Roman" w:hAnsi="Times New Roman" w:cs="Times New Roman"/>
                <w:sz w:val="20"/>
                <w:szCs w:val="20"/>
              </w:rPr>
              <w:t>736</w:t>
            </w:r>
          </w:p>
        </w:tc>
        <w:tc>
          <w:tcPr>
            <w:tcW w:w="654" w:type="pct"/>
          </w:tcPr>
          <w:p w:rsidR="00517C19" w:rsidRPr="00713D18" w:rsidRDefault="00517C19" w:rsidP="006D4221">
            <w:pPr>
              <w:autoSpaceDE w:val="0"/>
              <w:autoSpaceDN w:val="0"/>
              <w:adjustRightInd w:val="0"/>
              <w:spacing w:after="0" w:line="240" w:lineRule="auto"/>
              <w:rPr>
                <w:rFonts w:ascii="Times New Roman" w:hAnsi="Times New Roman" w:cs="Times New Roman"/>
                <w:sz w:val="20"/>
                <w:szCs w:val="20"/>
              </w:rPr>
            </w:pPr>
            <w:r w:rsidRPr="00713D18">
              <w:rPr>
                <w:rFonts w:ascii="Times New Roman" w:hAnsi="Times New Roman" w:cs="Times New Roman"/>
                <w:sz w:val="20"/>
                <w:szCs w:val="20"/>
              </w:rPr>
              <w:t>13</w:t>
            </w:r>
            <w:r>
              <w:rPr>
                <w:rFonts w:ascii="Times New Roman" w:hAnsi="Times New Roman" w:cs="Times New Roman"/>
                <w:sz w:val="20"/>
                <w:szCs w:val="20"/>
              </w:rPr>
              <w:t>,</w:t>
            </w:r>
            <w:r w:rsidRPr="00713D18">
              <w:rPr>
                <w:rFonts w:ascii="Times New Roman" w:hAnsi="Times New Roman" w:cs="Times New Roman"/>
                <w:sz w:val="20"/>
                <w:szCs w:val="20"/>
              </w:rPr>
              <w:t>208</w:t>
            </w:r>
          </w:p>
        </w:tc>
        <w:tc>
          <w:tcPr>
            <w:tcW w:w="663" w:type="pct"/>
            <w:tcMar>
              <w:top w:w="100" w:type="nil"/>
              <w:right w:w="100" w:type="nil"/>
            </w:tcMar>
          </w:tcPr>
          <w:p w:rsidR="00517C19" w:rsidRPr="001A1B3B" w:rsidRDefault="00517C19" w:rsidP="006D4221">
            <w:pPr>
              <w:autoSpaceDE w:val="0"/>
              <w:autoSpaceDN w:val="0"/>
              <w:adjustRightInd w:val="0"/>
              <w:spacing w:after="0" w:line="240" w:lineRule="auto"/>
              <w:rPr>
                <w:rFonts w:ascii="Times New Roman" w:hAnsi="Times New Roman" w:cs="Times New Roman"/>
                <w:sz w:val="20"/>
                <w:szCs w:val="20"/>
              </w:rPr>
            </w:pPr>
            <w:r w:rsidRPr="001A1B3B">
              <w:rPr>
                <w:rFonts w:ascii="Times New Roman" w:hAnsi="Times New Roman" w:cs="Times New Roman"/>
                <w:sz w:val="20"/>
                <w:szCs w:val="20"/>
              </w:rPr>
              <w:t>8</w:t>
            </w:r>
            <w:r>
              <w:rPr>
                <w:rFonts w:ascii="Times New Roman" w:hAnsi="Times New Roman" w:cs="Times New Roman"/>
                <w:sz w:val="20"/>
                <w:szCs w:val="20"/>
              </w:rPr>
              <w:t>,</w:t>
            </w:r>
            <w:r w:rsidRPr="001A1B3B">
              <w:rPr>
                <w:rFonts w:ascii="Times New Roman" w:hAnsi="Times New Roman" w:cs="Times New Roman"/>
                <w:sz w:val="20"/>
                <w:szCs w:val="20"/>
              </w:rPr>
              <w:t>047</w:t>
            </w:r>
          </w:p>
        </w:tc>
        <w:tc>
          <w:tcPr>
            <w:tcW w:w="662" w:type="pct"/>
          </w:tcPr>
          <w:p w:rsidR="00517C19" w:rsidRPr="00FC4337" w:rsidRDefault="00517C19" w:rsidP="006D4221">
            <w:pPr>
              <w:autoSpaceDE w:val="0"/>
              <w:autoSpaceDN w:val="0"/>
              <w:adjustRightInd w:val="0"/>
              <w:spacing w:after="0" w:line="240" w:lineRule="auto"/>
              <w:rPr>
                <w:rFonts w:ascii="Times New Roman" w:hAnsi="Times New Roman" w:cs="Times New Roman"/>
                <w:sz w:val="20"/>
                <w:szCs w:val="20"/>
              </w:rPr>
            </w:pPr>
            <w:r w:rsidRPr="00FC4337">
              <w:rPr>
                <w:rFonts w:ascii="Times New Roman" w:hAnsi="Times New Roman" w:cs="Times New Roman"/>
                <w:sz w:val="20"/>
                <w:szCs w:val="20"/>
              </w:rPr>
              <w:t>4</w:t>
            </w:r>
            <w:r>
              <w:rPr>
                <w:rFonts w:ascii="Times New Roman" w:hAnsi="Times New Roman" w:cs="Times New Roman"/>
                <w:sz w:val="20"/>
                <w:szCs w:val="20"/>
              </w:rPr>
              <w:t>,</w:t>
            </w:r>
            <w:r w:rsidRPr="00FC4337">
              <w:rPr>
                <w:rFonts w:ascii="Times New Roman" w:hAnsi="Times New Roman" w:cs="Times New Roman"/>
                <w:sz w:val="20"/>
                <w:szCs w:val="20"/>
              </w:rPr>
              <w:t>154</w:t>
            </w:r>
          </w:p>
        </w:tc>
      </w:tr>
      <w:tr w:rsidR="00517C19" w:rsidRPr="00445DE2" w:rsidTr="006D4221">
        <w:tc>
          <w:tcPr>
            <w:tcW w:w="1184" w:type="pct"/>
            <w:tcMar>
              <w:top w:w="100" w:type="nil"/>
              <w:right w:w="100" w:type="nil"/>
            </w:tcMar>
            <w:vAlign w:val="center"/>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sidRPr="00A41DAC">
              <w:rPr>
                <w:rFonts w:ascii="Times New Roman" w:hAnsi="Times New Roman" w:cs="Times New Roman"/>
                <w:sz w:val="20"/>
                <w:szCs w:val="20"/>
              </w:rPr>
              <w:t xml:space="preserve">   - By primary condition</w:t>
            </w:r>
          </w:p>
        </w:tc>
        <w:tc>
          <w:tcPr>
            <w:tcW w:w="591" w:type="pct"/>
            <w:tcMar>
              <w:top w:w="100" w:type="nil"/>
              <w:right w:w="100" w:type="nil"/>
            </w:tcMar>
            <w:vAlign w:val="center"/>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p>
        </w:tc>
        <w:tc>
          <w:tcPr>
            <w:tcW w:w="592" w:type="pct"/>
            <w:vAlign w:val="center"/>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p>
        </w:tc>
        <w:tc>
          <w:tcPr>
            <w:tcW w:w="654" w:type="pct"/>
            <w:tcMar>
              <w:top w:w="100" w:type="nil"/>
              <w:right w:w="100" w:type="nil"/>
            </w:tcMar>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p>
        </w:tc>
        <w:tc>
          <w:tcPr>
            <w:tcW w:w="654" w:type="pct"/>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p>
        </w:tc>
        <w:tc>
          <w:tcPr>
            <w:tcW w:w="663" w:type="pct"/>
            <w:tcMar>
              <w:top w:w="100" w:type="nil"/>
              <w:right w:w="100" w:type="nil"/>
            </w:tcMar>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p>
        </w:tc>
        <w:tc>
          <w:tcPr>
            <w:tcW w:w="662" w:type="pct"/>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p>
        </w:tc>
      </w:tr>
      <w:tr w:rsidR="00517C19" w:rsidRPr="00445DE2" w:rsidTr="006D4221">
        <w:tc>
          <w:tcPr>
            <w:tcW w:w="1184" w:type="pct"/>
            <w:tcMar>
              <w:top w:w="100" w:type="nil"/>
              <w:right w:w="100" w:type="nil"/>
            </w:tcMar>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sidRPr="00A41DAC">
              <w:rPr>
                <w:rFonts w:ascii="Times New Roman" w:hAnsi="Times New Roman" w:cs="Times New Roman"/>
                <w:sz w:val="20"/>
                <w:szCs w:val="20"/>
              </w:rPr>
              <w:t xml:space="preserve">       -Pregnancy-related conditions </w:t>
            </w:r>
          </w:p>
        </w:tc>
        <w:tc>
          <w:tcPr>
            <w:tcW w:w="591" w:type="pct"/>
            <w:tcMar>
              <w:top w:w="100" w:type="nil"/>
              <w:right w:w="100" w:type="nil"/>
            </w:tcMar>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sidRPr="007629C5">
              <w:rPr>
                <w:rFonts w:ascii="Times New Roman" w:hAnsi="Times New Roman" w:cs="Times New Roman"/>
                <w:sz w:val="20"/>
                <w:szCs w:val="20"/>
              </w:rPr>
              <w:t>2.</w:t>
            </w:r>
            <w:r>
              <w:rPr>
                <w:rFonts w:ascii="Times New Roman" w:hAnsi="Times New Roman" w:cs="Times New Roman"/>
                <w:sz w:val="20"/>
                <w:szCs w:val="20"/>
              </w:rPr>
              <w:t>7</w:t>
            </w:r>
          </w:p>
        </w:tc>
        <w:tc>
          <w:tcPr>
            <w:tcW w:w="592" w:type="pct"/>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654" w:type="pct"/>
            <w:tcMar>
              <w:top w:w="100" w:type="nil"/>
              <w:right w:w="100" w:type="nil"/>
            </w:tcMar>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sidRPr="007629C5">
              <w:rPr>
                <w:rFonts w:ascii="Times New Roman" w:hAnsi="Times New Roman" w:cs="Times New Roman"/>
                <w:sz w:val="20"/>
                <w:szCs w:val="20"/>
              </w:rPr>
              <w:t>14</w:t>
            </w:r>
            <w:r>
              <w:rPr>
                <w:rFonts w:ascii="Times New Roman" w:hAnsi="Times New Roman" w:cs="Times New Roman"/>
                <w:sz w:val="20"/>
                <w:szCs w:val="20"/>
              </w:rPr>
              <w:t>,</w:t>
            </w:r>
            <w:r w:rsidRPr="007629C5">
              <w:rPr>
                <w:rFonts w:ascii="Times New Roman" w:hAnsi="Times New Roman" w:cs="Times New Roman"/>
                <w:sz w:val="20"/>
                <w:szCs w:val="20"/>
              </w:rPr>
              <w:t>266</w:t>
            </w:r>
          </w:p>
        </w:tc>
        <w:tc>
          <w:tcPr>
            <w:tcW w:w="654" w:type="pct"/>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sidRPr="00FC4337">
              <w:rPr>
                <w:rFonts w:ascii="Times New Roman" w:hAnsi="Times New Roman" w:cs="Times New Roman"/>
                <w:sz w:val="20"/>
                <w:szCs w:val="20"/>
              </w:rPr>
              <w:t>11</w:t>
            </w:r>
            <w:r>
              <w:rPr>
                <w:rFonts w:ascii="Times New Roman" w:hAnsi="Times New Roman" w:cs="Times New Roman"/>
                <w:sz w:val="20"/>
                <w:szCs w:val="20"/>
              </w:rPr>
              <w:t>,</w:t>
            </w:r>
            <w:r w:rsidRPr="00FC4337">
              <w:rPr>
                <w:rFonts w:ascii="Times New Roman" w:hAnsi="Times New Roman" w:cs="Times New Roman"/>
                <w:sz w:val="20"/>
                <w:szCs w:val="20"/>
              </w:rPr>
              <w:t>113</w:t>
            </w:r>
          </w:p>
        </w:tc>
        <w:tc>
          <w:tcPr>
            <w:tcW w:w="663" w:type="pct"/>
            <w:tcMar>
              <w:top w:w="100" w:type="nil"/>
              <w:right w:w="100" w:type="nil"/>
            </w:tcMar>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sidRPr="00F701B6">
              <w:rPr>
                <w:rFonts w:ascii="Times New Roman" w:hAnsi="Times New Roman" w:cs="Times New Roman"/>
                <w:sz w:val="20"/>
                <w:szCs w:val="20"/>
              </w:rPr>
              <w:t>4</w:t>
            </w:r>
            <w:r>
              <w:rPr>
                <w:rFonts w:ascii="Times New Roman" w:hAnsi="Times New Roman" w:cs="Times New Roman"/>
                <w:sz w:val="20"/>
                <w:szCs w:val="20"/>
              </w:rPr>
              <w:t>,</w:t>
            </w:r>
            <w:r w:rsidRPr="00F701B6">
              <w:rPr>
                <w:rFonts w:ascii="Times New Roman" w:hAnsi="Times New Roman" w:cs="Times New Roman"/>
                <w:sz w:val="20"/>
                <w:szCs w:val="20"/>
              </w:rPr>
              <w:t>27</w:t>
            </w:r>
            <w:r>
              <w:rPr>
                <w:rFonts w:ascii="Times New Roman" w:hAnsi="Times New Roman" w:cs="Times New Roman"/>
                <w:sz w:val="20"/>
                <w:szCs w:val="20"/>
              </w:rPr>
              <w:t>7</w:t>
            </w:r>
          </w:p>
        </w:tc>
        <w:tc>
          <w:tcPr>
            <w:tcW w:w="662" w:type="pct"/>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sidRPr="00FC4337">
              <w:rPr>
                <w:rFonts w:ascii="Times New Roman" w:hAnsi="Times New Roman" w:cs="Times New Roman"/>
                <w:sz w:val="20"/>
                <w:szCs w:val="20"/>
              </w:rPr>
              <w:t>3</w:t>
            </w:r>
            <w:r>
              <w:rPr>
                <w:rFonts w:ascii="Times New Roman" w:hAnsi="Times New Roman" w:cs="Times New Roman"/>
                <w:sz w:val="20"/>
                <w:szCs w:val="20"/>
              </w:rPr>
              <w:t>,</w:t>
            </w:r>
            <w:r w:rsidRPr="00FC4337">
              <w:rPr>
                <w:rFonts w:ascii="Times New Roman" w:hAnsi="Times New Roman" w:cs="Times New Roman"/>
                <w:sz w:val="20"/>
                <w:szCs w:val="20"/>
              </w:rPr>
              <w:t>517</w:t>
            </w:r>
          </w:p>
        </w:tc>
      </w:tr>
      <w:tr w:rsidR="00517C19" w:rsidRPr="00445DE2" w:rsidTr="006D4221">
        <w:tc>
          <w:tcPr>
            <w:tcW w:w="1184" w:type="pct"/>
            <w:tcMar>
              <w:top w:w="100" w:type="nil"/>
              <w:right w:w="100" w:type="nil"/>
            </w:tcMar>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sidRPr="00A41DAC">
              <w:rPr>
                <w:rFonts w:ascii="Times New Roman" w:hAnsi="Times New Roman" w:cs="Times New Roman"/>
                <w:sz w:val="20"/>
                <w:szCs w:val="20"/>
              </w:rPr>
              <w:t xml:space="preserve">       -MHSA: Mood disorders </w:t>
            </w:r>
          </w:p>
        </w:tc>
        <w:tc>
          <w:tcPr>
            <w:tcW w:w="591" w:type="pct"/>
            <w:tcMar>
              <w:top w:w="100" w:type="nil"/>
              <w:right w:w="100" w:type="nil"/>
            </w:tcMar>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6.8</w:t>
            </w:r>
          </w:p>
        </w:tc>
        <w:tc>
          <w:tcPr>
            <w:tcW w:w="592" w:type="pct"/>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654" w:type="pct"/>
            <w:tcMar>
              <w:top w:w="100" w:type="nil"/>
              <w:right w:w="100" w:type="nil"/>
            </w:tcMar>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sidRPr="007629C5">
              <w:rPr>
                <w:rFonts w:ascii="Times New Roman" w:hAnsi="Times New Roman" w:cs="Times New Roman"/>
                <w:sz w:val="20"/>
                <w:szCs w:val="20"/>
              </w:rPr>
              <w:t>18</w:t>
            </w:r>
            <w:r>
              <w:rPr>
                <w:rFonts w:ascii="Times New Roman" w:hAnsi="Times New Roman" w:cs="Times New Roman"/>
                <w:sz w:val="20"/>
                <w:szCs w:val="20"/>
              </w:rPr>
              <w:t>,</w:t>
            </w:r>
            <w:r w:rsidRPr="007629C5">
              <w:rPr>
                <w:rFonts w:ascii="Times New Roman" w:hAnsi="Times New Roman" w:cs="Times New Roman"/>
                <w:sz w:val="20"/>
                <w:szCs w:val="20"/>
              </w:rPr>
              <w:t>081</w:t>
            </w:r>
          </w:p>
        </w:tc>
        <w:tc>
          <w:tcPr>
            <w:tcW w:w="654" w:type="pct"/>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sidRPr="00FC4337">
              <w:rPr>
                <w:rFonts w:ascii="Times New Roman" w:hAnsi="Times New Roman" w:cs="Times New Roman"/>
                <w:sz w:val="20"/>
                <w:szCs w:val="20"/>
              </w:rPr>
              <w:t>12</w:t>
            </w:r>
            <w:r>
              <w:rPr>
                <w:rFonts w:ascii="Times New Roman" w:hAnsi="Times New Roman" w:cs="Times New Roman"/>
                <w:sz w:val="20"/>
                <w:szCs w:val="20"/>
              </w:rPr>
              <w:t>,</w:t>
            </w:r>
            <w:r w:rsidRPr="00FC4337">
              <w:rPr>
                <w:rFonts w:ascii="Times New Roman" w:hAnsi="Times New Roman" w:cs="Times New Roman"/>
                <w:sz w:val="20"/>
                <w:szCs w:val="20"/>
              </w:rPr>
              <w:t>122</w:t>
            </w:r>
          </w:p>
        </w:tc>
        <w:tc>
          <w:tcPr>
            <w:tcW w:w="663" w:type="pct"/>
            <w:tcMar>
              <w:top w:w="100" w:type="nil"/>
              <w:right w:w="100" w:type="nil"/>
            </w:tcMar>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sidRPr="00F701B6">
              <w:rPr>
                <w:rFonts w:ascii="Times New Roman" w:hAnsi="Times New Roman" w:cs="Times New Roman"/>
                <w:sz w:val="20"/>
                <w:szCs w:val="20"/>
              </w:rPr>
              <w:t>5</w:t>
            </w:r>
            <w:r>
              <w:rPr>
                <w:rFonts w:ascii="Times New Roman" w:hAnsi="Times New Roman" w:cs="Times New Roman"/>
                <w:sz w:val="20"/>
                <w:szCs w:val="20"/>
              </w:rPr>
              <w:t>,</w:t>
            </w:r>
            <w:r w:rsidRPr="00F701B6">
              <w:rPr>
                <w:rFonts w:ascii="Times New Roman" w:hAnsi="Times New Roman" w:cs="Times New Roman"/>
                <w:sz w:val="20"/>
                <w:szCs w:val="20"/>
              </w:rPr>
              <w:t>626</w:t>
            </w:r>
          </w:p>
        </w:tc>
        <w:tc>
          <w:tcPr>
            <w:tcW w:w="662" w:type="pct"/>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sidRPr="00FC4337">
              <w:rPr>
                <w:rFonts w:ascii="Times New Roman" w:hAnsi="Times New Roman" w:cs="Times New Roman"/>
                <w:sz w:val="20"/>
                <w:szCs w:val="20"/>
              </w:rPr>
              <w:t>3</w:t>
            </w:r>
            <w:r>
              <w:rPr>
                <w:rFonts w:ascii="Times New Roman" w:hAnsi="Times New Roman" w:cs="Times New Roman"/>
                <w:sz w:val="20"/>
                <w:szCs w:val="20"/>
              </w:rPr>
              <w:t>,</w:t>
            </w:r>
            <w:r w:rsidRPr="00FC4337">
              <w:rPr>
                <w:rFonts w:ascii="Times New Roman" w:hAnsi="Times New Roman" w:cs="Times New Roman"/>
                <w:sz w:val="20"/>
                <w:szCs w:val="20"/>
              </w:rPr>
              <w:t>792</w:t>
            </w:r>
          </w:p>
        </w:tc>
      </w:tr>
      <w:tr w:rsidR="00517C19" w:rsidRPr="00445DE2" w:rsidTr="006D4221">
        <w:tc>
          <w:tcPr>
            <w:tcW w:w="1184" w:type="pct"/>
            <w:tcMar>
              <w:top w:w="100" w:type="nil"/>
              <w:right w:w="100" w:type="nil"/>
            </w:tcMar>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sidRPr="00A41DAC">
              <w:rPr>
                <w:rFonts w:ascii="Times New Roman" w:hAnsi="Times New Roman" w:cs="Times New Roman"/>
                <w:sz w:val="20"/>
                <w:szCs w:val="20"/>
              </w:rPr>
              <w:t xml:space="preserve">       -Asthma </w:t>
            </w:r>
          </w:p>
        </w:tc>
        <w:tc>
          <w:tcPr>
            <w:tcW w:w="591" w:type="pct"/>
            <w:tcMar>
              <w:top w:w="100" w:type="nil"/>
              <w:right w:w="100" w:type="nil"/>
            </w:tcMar>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sidRPr="007629C5">
              <w:rPr>
                <w:rFonts w:ascii="Times New Roman" w:hAnsi="Times New Roman" w:cs="Times New Roman"/>
                <w:sz w:val="20"/>
                <w:szCs w:val="20"/>
              </w:rPr>
              <w:t>2.</w:t>
            </w:r>
            <w:r>
              <w:rPr>
                <w:rFonts w:ascii="Times New Roman" w:hAnsi="Times New Roman" w:cs="Times New Roman"/>
                <w:sz w:val="20"/>
                <w:szCs w:val="20"/>
              </w:rPr>
              <w:t>2</w:t>
            </w:r>
          </w:p>
        </w:tc>
        <w:tc>
          <w:tcPr>
            <w:tcW w:w="592" w:type="pct"/>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654" w:type="pct"/>
            <w:tcMar>
              <w:top w:w="100" w:type="nil"/>
              <w:right w:w="100" w:type="nil"/>
            </w:tcMar>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sidRPr="007629C5">
              <w:rPr>
                <w:rFonts w:ascii="Times New Roman" w:hAnsi="Times New Roman" w:cs="Times New Roman"/>
                <w:sz w:val="20"/>
                <w:szCs w:val="20"/>
              </w:rPr>
              <w:t>14</w:t>
            </w:r>
            <w:r>
              <w:rPr>
                <w:rFonts w:ascii="Times New Roman" w:hAnsi="Times New Roman" w:cs="Times New Roman"/>
                <w:sz w:val="20"/>
                <w:szCs w:val="20"/>
              </w:rPr>
              <w:t>,</w:t>
            </w:r>
            <w:r w:rsidRPr="007629C5">
              <w:rPr>
                <w:rFonts w:ascii="Times New Roman" w:hAnsi="Times New Roman" w:cs="Times New Roman"/>
                <w:sz w:val="20"/>
                <w:szCs w:val="20"/>
              </w:rPr>
              <w:t>382</w:t>
            </w:r>
          </w:p>
        </w:tc>
        <w:tc>
          <w:tcPr>
            <w:tcW w:w="654" w:type="pct"/>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sidRPr="00FC4337">
              <w:rPr>
                <w:rFonts w:ascii="Times New Roman" w:hAnsi="Times New Roman" w:cs="Times New Roman"/>
                <w:sz w:val="20"/>
                <w:szCs w:val="20"/>
              </w:rPr>
              <w:t>9</w:t>
            </w:r>
            <w:r>
              <w:rPr>
                <w:rFonts w:ascii="Times New Roman" w:hAnsi="Times New Roman" w:cs="Times New Roman"/>
                <w:sz w:val="20"/>
                <w:szCs w:val="20"/>
              </w:rPr>
              <w:t>,</w:t>
            </w:r>
            <w:r w:rsidRPr="00FC4337">
              <w:rPr>
                <w:rFonts w:ascii="Times New Roman" w:hAnsi="Times New Roman" w:cs="Times New Roman"/>
                <w:sz w:val="20"/>
                <w:szCs w:val="20"/>
              </w:rPr>
              <w:t>849</w:t>
            </w:r>
          </w:p>
        </w:tc>
        <w:tc>
          <w:tcPr>
            <w:tcW w:w="663" w:type="pct"/>
            <w:tcMar>
              <w:top w:w="100" w:type="nil"/>
              <w:right w:w="100" w:type="nil"/>
            </w:tcMar>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sidRPr="00F701B6">
              <w:rPr>
                <w:rFonts w:ascii="Times New Roman" w:hAnsi="Times New Roman" w:cs="Times New Roman"/>
                <w:sz w:val="20"/>
                <w:szCs w:val="20"/>
              </w:rPr>
              <w:t>4</w:t>
            </w:r>
            <w:r>
              <w:rPr>
                <w:rFonts w:ascii="Times New Roman" w:hAnsi="Times New Roman" w:cs="Times New Roman"/>
                <w:sz w:val="20"/>
                <w:szCs w:val="20"/>
              </w:rPr>
              <w:t>,</w:t>
            </w:r>
            <w:r w:rsidRPr="00F701B6">
              <w:rPr>
                <w:rFonts w:ascii="Times New Roman" w:hAnsi="Times New Roman" w:cs="Times New Roman"/>
                <w:sz w:val="20"/>
                <w:szCs w:val="20"/>
              </w:rPr>
              <w:t>335</w:t>
            </w:r>
          </w:p>
        </w:tc>
        <w:tc>
          <w:tcPr>
            <w:tcW w:w="662" w:type="pct"/>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3,111</w:t>
            </w:r>
          </w:p>
        </w:tc>
      </w:tr>
      <w:tr w:rsidR="00517C19" w:rsidRPr="00445DE2" w:rsidTr="006D4221">
        <w:tc>
          <w:tcPr>
            <w:tcW w:w="1184" w:type="pct"/>
            <w:tcMar>
              <w:top w:w="100" w:type="nil"/>
              <w:right w:w="100" w:type="nil"/>
            </w:tcMar>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sidRPr="00A41DAC">
              <w:rPr>
                <w:rFonts w:ascii="Times New Roman" w:hAnsi="Times New Roman" w:cs="Times New Roman"/>
                <w:sz w:val="20"/>
                <w:szCs w:val="20"/>
              </w:rPr>
              <w:t xml:space="preserve">       -Diabetes </w:t>
            </w:r>
          </w:p>
        </w:tc>
        <w:tc>
          <w:tcPr>
            <w:tcW w:w="591" w:type="pct"/>
            <w:tcMar>
              <w:top w:w="100" w:type="nil"/>
              <w:right w:w="100" w:type="nil"/>
            </w:tcMar>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p>
        </w:tc>
        <w:tc>
          <w:tcPr>
            <w:tcW w:w="592" w:type="pct"/>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654" w:type="pct"/>
            <w:tcMar>
              <w:top w:w="100" w:type="nil"/>
              <w:right w:w="100" w:type="nil"/>
            </w:tcMar>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16,538</w:t>
            </w:r>
          </w:p>
        </w:tc>
        <w:tc>
          <w:tcPr>
            <w:tcW w:w="654" w:type="pct"/>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12,129</w:t>
            </w:r>
          </w:p>
        </w:tc>
        <w:tc>
          <w:tcPr>
            <w:tcW w:w="663" w:type="pct"/>
            <w:tcMar>
              <w:top w:w="100" w:type="nil"/>
              <w:right w:w="100" w:type="nil"/>
            </w:tcMar>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sidRPr="00F701B6">
              <w:rPr>
                <w:rFonts w:ascii="Times New Roman" w:hAnsi="Times New Roman" w:cs="Times New Roman"/>
                <w:sz w:val="20"/>
                <w:szCs w:val="20"/>
              </w:rPr>
              <w:t>5</w:t>
            </w:r>
            <w:r>
              <w:rPr>
                <w:rFonts w:ascii="Times New Roman" w:hAnsi="Times New Roman" w:cs="Times New Roman"/>
                <w:sz w:val="20"/>
                <w:szCs w:val="20"/>
              </w:rPr>
              <w:t>,</w:t>
            </w:r>
            <w:r w:rsidRPr="00F701B6">
              <w:rPr>
                <w:rFonts w:ascii="Times New Roman" w:hAnsi="Times New Roman" w:cs="Times New Roman"/>
                <w:sz w:val="20"/>
                <w:szCs w:val="20"/>
              </w:rPr>
              <w:t>19</w:t>
            </w:r>
            <w:r>
              <w:rPr>
                <w:rFonts w:ascii="Times New Roman" w:hAnsi="Times New Roman" w:cs="Times New Roman"/>
                <w:sz w:val="20"/>
                <w:szCs w:val="20"/>
              </w:rPr>
              <w:t>4</w:t>
            </w:r>
          </w:p>
        </w:tc>
        <w:tc>
          <w:tcPr>
            <w:tcW w:w="662" w:type="pct"/>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3,997</w:t>
            </w:r>
          </w:p>
        </w:tc>
      </w:tr>
      <w:tr w:rsidR="00517C19" w:rsidRPr="00445DE2" w:rsidTr="006D4221">
        <w:tc>
          <w:tcPr>
            <w:tcW w:w="1184" w:type="pct"/>
            <w:tcMar>
              <w:top w:w="100" w:type="nil"/>
              <w:right w:w="100" w:type="nil"/>
            </w:tcMar>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sidRPr="00A41DAC">
              <w:rPr>
                <w:rFonts w:ascii="Times New Roman" w:hAnsi="Times New Roman" w:cs="Times New Roman"/>
                <w:sz w:val="20"/>
                <w:szCs w:val="20"/>
              </w:rPr>
              <w:t xml:space="preserve">       -Appendicitis </w:t>
            </w:r>
          </w:p>
        </w:tc>
        <w:tc>
          <w:tcPr>
            <w:tcW w:w="591" w:type="pct"/>
            <w:tcMar>
              <w:top w:w="100" w:type="nil"/>
              <w:right w:w="100" w:type="nil"/>
            </w:tcMar>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sidRPr="007629C5">
              <w:rPr>
                <w:rFonts w:ascii="Times New Roman" w:hAnsi="Times New Roman" w:cs="Times New Roman"/>
                <w:sz w:val="20"/>
                <w:szCs w:val="20"/>
              </w:rPr>
              <w:t>2.8</w:t>
            </w:r>
          </w:p>
        </w:tc>
        <w:tc>
          <w:tcPr>
            <w:tcW w:w="592" w:type="pct"/>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654" w:type="pct"/>
            <w:tcMar>
              <w:top w:w="100" w:type="nil"/>
              <w:right w:w="100" w:type="nil"/>
            </w:tcMar>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31,441</w:t>
            </w:r>
          </w:p>
        </w:tc>
        <w:tc>
          <w:tcPr>
            <w:tcW w:w="654" w:type="pct"/>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sidRPr="00FC4337">
              <w:rPr>
                <w:rFonts w:ascii="Times New Roman" w:hAnsi="Times New Roman" w:cs="Times New Roman"/>
                <w:sz w:val="20"/>
                <w:szCs w:val="20"/>
              </w:rPr>
              <w:t>25</w:t>
            </w:r>
            <w:r>
              <w:rPr>
                <w:rFonts w:ascii="Times New Roman" w:hAnsi="Times New Roman" w:cs="Times New Roman"/>
                <w:sz w:val="20"/>
                <w:szCs w:val="20"/>
              </w:rPr>
              <w:t>,</w:t>
            </w:r>
            <w:r w:rsidRPr="00FC4337">
              <w:rPr>
                <w:rFonts w:ascii="Times New Roman" w:hAnsi="Times New Roman" w:cs="Times New Roman"/>
                <w:sz w:val="20"/>
                <w:szCs w:val="20"/>
              </w:rPr>
              <w:t>253</w:t>
            </w:r>
          </w:p>
        </w:tc>
        <w:tc>
          <w:tcPr>
            <w:tcW w:w="663" w:type="pct"/>
            <w:tcMar>
              <w:top w:w="100" w:type="nil"/>
              <w:right w:w="100" w:type="nil"/>
            </w:tcMar>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sidRPr="00F701B6">
              <w:rPr>
                <w:rFonts w:ascii="Times New Roman" w:hAnsi="Times New Roman" w:cs="Times New Roman"/>
                <w:sz w:val="20"/>
                <w:szCs w:val="20"/>
              </w:rPr>
              <w:t>9</w:t>
            </w:r>
            <w:r>
              <w:rPr>
                <w:rFonts w:ascii="Times New Roman" w:hAnsi="Times New Roman" w:cs="Times New Roman"/>
                <w:sz w:val="20"/>
                <w:szCs w:val="20"/>
              </w:rPr>
              <w:t>,</w:t>
            </w:r>
            <w:r w:rsidRPr="00F701B6">
              <w:rPr>
                <w:rFonts w:ascii="Times New Roman" w:hAnsi="Times New Roman" w:cs="Times New Roman"/>
                <w:sz w:val="20"/>
                <w:szCs w:val="20"/>
              </w:rPr>
              <w:t>463</w:t>
            </w:r>
          </w:p>
        </w:tc>
        <w:tc>
          <w:tcPr>
            <w:tcW w:w="662" w:type="pct"/>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sidRPr="00FC4337">
              <w:rPr>
                <w:rFonts w:ascii="Times New Roman" w:hAnsi="Times New Roman" w:cs="Times New Roman"/>
                <w:sz w:val="20"/>
                <w:szCs w:val="20"/>
              </w:rPr>
              <w:t>7</w:t>
            </w:r>
            <w:r>
              <w:rPr>
                <w:rFonts w:ascii="Times New Roman" w:hAnsi="Times New Roman" w:cs="Times New Roman"/>
                <w:sz w:val="20"/>
                <w:szCs w:val="20"/>
              </w:rPr>
              <w:t>,</w:t>
            </w:r>
            <w:r w:rsidRPr="00FC4337">
              <w:rPr>
                <w:rFonts w:ascii="Times New Roman" w:hAnsi="Times New Roman" w:cs="Times New Roman"/>
                <w:sz w:val="20"/>
                <w:szCs w:val="20"/>
              </w:rPr>
              <w:t>845</w:t>
            </w:r>
          </w:p>
        </w:tc>
      </w:tr>
      <w:tr w:rsidR="00517C19" w:rsidRPr="00445DE2" w:rsidTr="006D4221">
        <w:tc>
          <w:tcPr>
            <w:tcW w:w="1184" w:type="pct"/>
            <w:tcMar>
              <w:top w:w="100" w:type="nil"/>
              <w:right w:w="100" w:type="nil"/>
            </w:tcMar>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sidRPr="00A41DAC">
              <w:rPr>
                <w:rFonts w:ascii="Times New Roman" w:hAnsi="Times New Roman" w:cs="Times New Roman"/>
                <w:sz w:val="20"/>
                <w:szCs w:val="20"/>
              </w:rPr>
              <w:t xml:space="preserve">       -Biliary tract disease </w:t>
            </w:r>
          </w:p>
        </w:tc>
        <w:tc>
          <w:tcPr>
            <w:tcW w:w="591" w:type="pct"/>
            <w:tcMar>
              <w:top w:w="100" w:type="nil"/>
              <w:right w:w="100" w:type="nil"/>
            </w:tcMar>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w:t>
            </w:r>
          </w:p>
        </w:tc>
        <w:tc>
          <w:tcPr>
            <w:tcW w:w="592" w:type="pct"/>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654" w:type="pct"/>
            <w:tcMar>
              <w:top w:w="100" w:type="nil"/>
              <w:right w:w="100" w:type="nil"/>
            </w:tcMar>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sidRPr="00EB22EA">
              <w:rPr>
                <w:rFonts w:ascii="Times New Roman" w:hAnsi="Times New Roman" w:cs="Times New Roman"/>
                <w:sz w:val="20"/>
                <w:szCs w:val="20"/>
              </w:rPr>
              <w:t>35</w:t>
            </w:r>
            <w:r>
              <w:rPr>
                <w:rFonts w:ascii="Times New Roman" w:hAnsi="Times New Roman" w:cs="Times New Roman"/>
                <w:sz w:val="20"/>
                <w:szCs w:val="20"/>
              </w:rPr>
              <w:t>,</w:t>
            </w:r>
            <w:r w:rsidRPr="00EB22EA">
              <w:rPr>
                <w:rFonts w:ascii="Times New Roman" w:hAnsi="Times New Roman" w:cs="Times New Roman"/>
                <w:sz w:val="20"/>
                <w:szCs w:val="20"/>
              </w:rPr>
              <w:t>962</w:t>
            </w:r>
          </w:p>
        </w:tc>
        <w:tc>
          <w:tcPr>
            <w:tcW w:w="654" w:type="pct"/>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27,512</w:t>
            </w:r>
          </w:p>
        </w:tc>
        <w:tc>
          <w:tcPr>
            <w:tcW w:w="663" w:type="pct"/>
            <w:tcMar>
              <w:top w:w="100" w:type="nil"/>
              <w:right w:w="100" w:type="nil"/>
            </w:tcMar>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10,576</w:t>
            </w:r>
          </w:p>
        </w:tc>
        <w:tc>
          <w:tcPr>
            <w:tcW w:w="662" w:type="pct"/>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8,407</w:t>
            </w:r>
          </w:p>
        </w:tc>
      </w:tr>
      <w:tr w:rsidR="00517C19" w:rsidRPr="00445DE2" w:rsidTr="006D4221">
        <w:tc>
          <w:tcPr>
            <w:tcW w:w="1184" w:type="pct"/>
            <w:tcMar>
              <w:top w:w="100" w:type="nil"/>
              <w:right w:w="100" w:type="nil"/>
            </w:tcMar>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sidRPr="00A41DAC">
              <w:rPr>
                <w:rFonts w:ascii="Times New Roman" w:hAnsi="Times New Roman" w:cs="Times New Roman"/>
                <w:sz w:val="20"/>
                <w:szCs w:val="20"/>
              </w:rPr>
              <w:t xml:space="preserve">       -Skin and </w:t>
            </w:r>
            <w:proofErr w:type="spellStart"/>
            <w:r w:rsidRPr="00A41DAC">
              <w:rPr>
                <w:rFonts w:ascii="Times New Roman" w:hAnsi="Times New Roman" w:cs="Times New Roman"/>
                <w:sz w:val="20"/>
                <w:szCs w:val="20"/>
              </w:rPr>
              <w:t>subc</w:t>
            </w:r>
            <w:proofErr w:type="spellEnd"/>
            <w:r w:rsidRPr="00A41DAC">
              <w:rPr>
                <w:rFonts w:ascii="Times New Roman" w:hAnsi="Times New Roman" w:cs="Times New Roman"/>
                <w:sz w:val="20"/>
                <w:szCs w:val="20"/>
              </w:rPr>
              <w:t>. tissue infections</w:t>
            </w:r>
          </w:p>
        </w:tc>
        <w:tc>
          <w:tcPr>
            <w:tcW w:w="591" w:type="pct"/>
            <w:tcMar>
              <w:top w:w="100" w:type="nil"/>
              <w:right w:w="100" w:type="nil"/>
            </w:tcMar>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sidRPr="00EB22EA">
              <w:rPr>
                <w:rFonts w:ascii="Times New Roman" w:hAnsi="Times New Roman" w:cs="Times New Roman"/>
                <w:sz w:val="20"/>
                <w:szCs w:val="20"/>
              </w:rPr>
              <w:t>2.7</w:t>
            </w:r>
          </w:p>
        </w:tc>
        <w:tc>
          <w:tcPr>
            <w:tcW w:w="592" w:type="pct"/>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654" w:type="pct"/>
            <w:tcMar>
              <w:top w:w="100" w:type="nil"/>
              <w:right w:w="100" w:type="nil"/>
            </w:tcMar>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sidRPr="00EB22EA">
              <w:rPr>
                <w:rFonts w:ascii="Times New Roman" w:hAnsi="Times New Roman" w:cs="Times New Roman"/>
                <w:sz w:val="20"/>
                <w:szCs w:val="20"/>
              </w:rPr>
              <w:t>14</w:t>
            </w:r>
            <w:r>
              <w:rPr>
                <w:rFonts w:ascii="Times New Roman" w:hAnsi="Times New Roman" w:cs="Times New Roman"/>
                <w:sz w:val="20"/>
                <w:szCs w:val="20"/>
              </w:rPr>
              <w:t>,</w:t>
            </w:r>
            <w:r w:rsidRPr="00EB22EA">
              <w:rPr>
                <w:rFonts w:ascii="Times New Roman" w:hAnsi="Times New Roman" w:cs="Times New Roman"/>
                <w:sz w:val="20"/>
                <w:szCs w:val="20"/>
              </w:rPr>
              <w:t>676</w:t>
            </w:r>
          </w:p>
        </w:tc>
        <w:tc>
          <w:tcPr>
            <w:tcW w:w="654" w:type="pct"/>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10,413</w:t>
            </w:r>
          </w:p>
        </w:tc>
        <w:tc>
          <w:tcPr>
            <w:tcW w:w="663" w:type="pct"/>
            <w:tcMar>
              <w:top w:w="100" w:type="nil"/>
              <w:right w:w="100" w:type="nil"/>
            </w:tcMar>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4,480</w:t>
            </w:r>
          </w:p>
        </w:tc>
        <w:tc>
          <w:tcPr>
            <w:tcW w:w="662" w:type="pct"/>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3,369</w:t>
            </w:r>
          </w:p>
        </w:tc>
      </w:tr>
      <w:tr w:rsidR="00517C19" w:rsidRPr="00445DE2" w:rsidTr="006D4221">
        <w:tc>
          <w:tcPr>
            <w:tcW w:w="1184" w:type="pct"/>
            <w:tcMar>
              <w:top w:w="100" w:type="nil"/>
              <w:right w:w="100" w:type="nil"/>
            </w:tcMar>
          </w:tcPr>
          <w:p w:rsidR="00517C19" w:rsidRPr="00A41DAC" w:rsidDel="00877152" w:rsidRDefault="00517C19" w:rsidP="006D4221">
            <w:pPr>
              <w:autoSpaceDE w:val="0"/>
              <w:autoSpaceDN w:val="0"/>
              <w:adjustRightInd w:val="0"/>
              <w:spacing w:after="0" w:line="240" w:lineRule="auto"/>
              <w:rPr>
                <w:rFonts w:ascii="Times New Roman" w:hAnsi="Times New Roman" w:cs="Times New Roman"/>
                <w:sz w:val="20"/>
                <w:szCs w:val="20"/>
              </w:rPr>
            </w:pPr>
            <w:r w:rsidRPr="00A41DAC">
              <w:rPr>
                <w:rFonts w:ascii="Times New Roman" w:hAnsi="Times New Roman" w:cs="Times New Roman"/>
                <w:sz w:val="20"/>
                <w:szCs w:val="20"/>
              </w:rPr>
              <w:t xml:space="preserve">       -Pneumonia </w:t>
            </w:r>
          </w:p>
        </w:tc>
        <w:tc>
          <w:tcPr>
            <w:tcW w:w="591" w:type="pct"/>
            <w:tcMar>
              <w:top w:w="100" w:type="nil"/>
              <w:right w:w="100" w:type="nil"/>
            </w:tcMar>
          </w:tcPr>
          <w:p w:rsidR="00517C19" w:rsidRPr="00A41DAC" w:rsidDel="00877152" w:rsidRDefault="00517C19" w:rsidP="006D4221">
            <w:pPr>
              <w:autoSpaceDE w:val="0"/>
              <w:autoSpaceDN w:val="0"/>
              <w:adjustRightInd w:val="0"/>
              <w:spacing w:after="0" w:line="240" w:lineRule="auto"/>
              <w:rPr>
                <w:rFonts w:ascii="Times New Roman" w:hAnsi="Times New Roman" w:cs="Times New Roman"/>
                <w:sz w:val="20"/>
                <w:szCs w:val="20"/>
              </w:rPr>
            </w:pPr>
            <w:r w:rsidRPr="00EB22EA">
              <w:rPr>
                <w:rFonts w:ascii="Times New Roman" w:hAnsi="Times New Roman" w:cs="Times New Roman"/>
                <w:sz w:val="20"/>
                <w:szCs w:val="20"/>
              </w:rPr>
              <w:t>3.4</w:t>
            </w:r>
          </w:p>
        </w:tc>
        <w:tc>
          <w:tcPr>
            <w:tcW w:w="592" w:type="pct"/>
          </w:tcPr>
          <w:p w:rsidR="00517C19" w:rsidRPr="00A41DAC" w:rsidDel="00877152"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654" w:type="pct"/>
            <w:tcMar>
              <w:top w:w="100" w:type="nil"/>
              <w:right w:w="100" w:type="nil"/>
            </w:tcMar>
          </w:tcPr>
          <w:p w:rsidR="00517C19" w:rsidRPr="00A41DAC" w:rsidDel="00877152" w:rsidRDefault="00517C19" w:rsidP="006D4221">
            <w:pPr>
              <w:autoSpaceDE w:val="0"/>
              <w:autoSpaceDN w:val="0"/>
              <w:adjustRightInd w:val="0"/>
              <w:spacing w:after="0" w:line="240" w:lineRule="auto"/>
              <w:rPr>
                <w:rFonts w:ascii="Times New Roman" w:hAnsi="Times New Roman" w:cs="Times New Roman"/>
                <w:sz w:val="20"/>
                <w:szCs w:val="20"/>
              </w:rPr>
            </w:pPr>
            <w:r w:rsidRPr="00EB22EA">
              <w:rPr>
                <w:rFonts w:ascii="Times New Roman" w:hAnsi="Times New Roman" w:cs="Times New Roman"/>
                <w:sz w:val="20"/>
                <w:szCs w:val="20"/>
              </w:rPr>
              <w:t>23</w:t>
            </w:r>
            <w:r>
              <w:rPr>
                <w:rFonts w:ascii="Times New Roman" w:hAnsi="Times New Roman" w:cs="Times New Roman"/>
                <w:sz w:val="20"/>
                <w:szCs w:val="20"/>
              </w:rPr>
              <w:t>,</w:t>
            </w:r>
            <w:r w:rsidRPr="00EB22EA">
              <w:rPr>
                <w:rFonts w:ascii="Times New Roman" w:hAnsi="Times New Roman" w:cs="Times New Roman"/>
                <w:sz w:val="20"/>
                <w:szCs w:val="20"/>
              </w:rPr>
              <w:t>153</w:t>
            </w:r>
          </w:p>
        </w:tc>
        <w:tc>
          <w:tcPr>
            <w:tcW w:w="654" w:type="pct"/>
          </w:tcPr>
          <w:p w:rsidR="00517C19" w:rsidRPr="00A41DAC" w:rsidDel="00877152"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11,004</w:t>
            </w:r>
          </w:p>
        </w:tc>
        <w:tc>
          <w:tcPr>
            <w:tcW w:w="663" w:type="pct"/>
            <w:tcMar>
              <w:top w:w="100" w:type="nil"/>
              <w:right w:w="100" w:type="nil"/>
            </w:tcMar>
          </w:tcPr>
          <w:p w:rsidR="00517C19" w:rsidRPr="00A41DAC" w:rsidDel="00877152" w:rsidRDefault="00517C19" w:rsidP="006D4221">
            <w:pPr>
              <w:autoSpaceDE w:val="0"/>
              <w:autoSpaceDN w:val="0"/>
              <w:adjustRightInd w:val="0"/>
              <w:spacing w:after="0" w:line="240" w:lineRule="auto"/>
              <w:rPr>
                <w:rFonts w:ascii="Times New Roman" w:hAnsi="Times New Roman" w:cs="Times New Roman"/>
                <w:sz w:val="20"/>
                <w:szCs w:val="20"/>
              </w:rPr>
            </w:pPr>
            <w:r w:rsidRPr="003D100E">
              <w:rPr>
                <w:rFonts w:ascii="Times New Roman" w:hAnsi="Times New Roman" w:cs="Times New Roman"/>
                <w:sz w:val="20"/>
                <w:szCs w:val="20"/>
              </w:rPr>
              <w:t>7</w:t>
            </w:r>
            <w:r>
              <w:rPr>
                <w:rFonts w:ascii="Times New Roman" w:hAnsi="Times New Roman" w:cs="Times New Roman"/>
                <w:sz w:val="20"/>
                <w:szCs w:val="20"/>
              </w:rPr>
              <w:t>,</w:t>
            </w:r>
            <w:r w:rsidRPr="003D100E">
              <w:rPr>
                <w:rFonts w:ascii="Times New Roman" w:hAnsi="Times New Roman" w:cs="Times New Roman"/>
                <w:sz w:val="20"/>
                <w:szCs w:val="20"/>
              </w:rPr>
              <w:t>207</w:t>
            </w:r>
          </w:p>
        </w:tc>
        <w:tc>
          <w:tcPr>
            <w:tcW w:w="662" w:type="pct"/>
          </w:tcPr>
          <w:p w:rsidR="00517C19" w:rsidRPr="00A41DAC" w:rsidDel="00877152"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3,580</w:t>
            </w:r>
          </w:p>
        </w:tc>
      </w:tr>
      <w:tr w:rsidR="00517C19" w:rsidRPr="00445DE2" w:rsidTr="006D4221">
        <w:tc>
          <w:tcPr>
            <w:tcW w:w="1184" w:type="pct"/>
            <w:tcMar>
              <w:top w:w="100" w:type="nil"/>
              <w:right w:w="100" w:type="nil"/>
            </w:tcMar>
          </w:tcPr>
          <w:p w:rsidR="00517C19" w:rsidRPr="00A41DAC" w:rsidDel="00877152" w:rsidRDefault="00517C19" w:rsidP="006D4221">
            <w:pPr>
              <w:autoSpaceDE w:val="0"/>
              <w:autoSpaceDN w:val="0"/>
              <w:adjustRightInd w:val="0"/>
              <w:spacing w:after="0" w:line="240" w:lineRule="auto"/>
              <w:rPr>
                <w:rFonts w:ascii="Times New Roman" w:hAnsi="Times New Roman" w:cs="Times New Roman"/>
                <w:sz w:val="20"/>
                <w:szCs w:val="20"/>
              </w:rPr>
            </w:pPr>
            <w:r w:rsidRPr="00A41DAC">
              <w:rPr>
                <w:rFonts w:ascii="Times New Roman" w:hAnsi="Times New Roman" w:cs="Times New Roman"/>
                <w:sz w:val="20"/>
                <w:szCs w:val="20"/>
              </w:rPr>
              <w:t xml:space="preserve">       -MHSA: Schizophrenia </w:t>
            </w:r>
          </w:p>
        </w:tc>
        <w:tc>
          <w:tcPr>
            <w:tcW w:w="591" w:type="pct"/>
            <w:tcMar>
              <w:top w:w="100" w:type="nil"/>
              <w:right w:w="100" w:type="nil"/>
            </w:tcMar>
          </w:tcPr>
          <w:p w:rsidR="00517C19" w:rsidRPr="00A41DAC" w:rsidDel="00877152" w:rsidRDefault="00517C19" w:rsidP="006D4221">
            <w:pPr>
              <w:autoSpaceDE w:val="0"/>
              <w:autoSpaceDN w:val="0"/>
              <w:adjustRightInd w:val="0"/>
              <w:spacing w:after="0" w:line="240" w:lineRule="auto"/>
              <w:rPr>
                <w:rFonts w:ascii="Times New Roman" w:hAnsi="Times New Roman" w:cs="Times New Roman"/>
                <w:sz w:val="20"/>
                <w:szCs w:val="20"/>
              </w:rPr>
            </w:pPr>
            <w:r w:rsidRPr="00EB22EA">
              <w:rPr>
                <w:rFonts w:ascii="Times New Roman" w:hAnsi="Times New Roman" w:cs="Times New Roman"/>
                <w:sz w:val="20"/>
                <w:szCs w:val="20"/>
              </w:rPr>
              <w:t>10.5</w:t>
            </w:r>
          </w:p>
        </w:tc>
        <w:tc>
          <w:tcPr>
            <w:tcW w:w="592" w:type="pct"/>
          </w:tcPr>
          <w:p w:rsidR="00517C19" w:rsidRPr="00A41DAC" w:rsidDel="00877152"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654" w:type="pct"/>
            <w:tcMar>
              <w:top w:w="100" w:type="nil"/>
              <w:right w:w="100" w:type="nil"/>
            </w:tcMar>
          </w:tcPr>
          <w:p w:rsidR="00517C19" w:rsidRPr="00A41DAC" w:rsidDel="00877152"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28,593</w:t>
            </w:r>
          </w:p>
        </w:tc>
        <w:tc>
          <w:tcPr>
            <w:tcW w:w="654" w:type="pct"/>
          </w:tcPr>
          <w:p w:rsidR="00517C19" w:rsidRPr="00A41DAC" w:rsidDel="00877152"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16,634</w:t>
            </w:r>
          </w:p>
        </w:tc>
        <w:tc>
          <w:tcPr>
            <w:tcW w:w="663" w:type="pct"/>
            <w:tcMar>
              <w:top w:w="100" w:type="nil"/>
              <w:right w:w="100" w:type="nil"/>
            </w:tcMar>
          </w:tcPr>
          <w:p w:rsidR="00517C19" w:rsidRPr="00A41DAC" w:rsidDel="00877152"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9,190</w:t>
            </w:r>
          </w:p>
        </w:tc>
        <w:tc>
          <w:tcPr>
            <w:tcW w:w="662" w:type="pct"/>
          </w:tcPr>
          <w:p w:rsidR="00517C19" w:rsidRPr="00A41DAC" w:rsidDel="00877152"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5,154</w:t>
            </w:r>
          </w:p>
        </w:tc>
      </w:tr>
      <w:tr w:rsidR="00517C19" w:rsidRPr="00445DE2" w:rsidTr="006D4221">
        <w:tc>
          <w:tcPr>
            <w:tcW w:w="1184" w:type="pct"/>
            <w:tcMar>
              <w:top w:w="100" w:type="nil"/>
              <w:right w:w="100" w:type="nil"/>
            </w:tcMar>
          </w:tcPr>
          <w:p w:rsidR="00517C19" w:rsidRPr="00A41DAC" w:rsidDel="00877152" w:rsidRDefault="00517C19" w:rsidP="006D4221">
            <w:pPr>
              <w:autoSpaceDE w:val="0"/>
              <w:autoSpaceDN w:val="0"/>
              <w:adjustRightInd w:val="0"/>
              <w:spacing w:after="0" w:line="240" w:lineRule="auto"/>
              <w:rPr>
                <w:rFonts w:ascii="Times New Roman" w:hAnsi="Times New Roman" w:cs="Times New Roman"/>
                <w:sz w:val="20"/>
                <w:szCs w:val="20"/>
              </w:rPr>
            </w:pPr>
            <w:r w:rsidRPr="00A41DAC">
              <w:rPr>
                <w:rFonts w:ascii="Times New Roman" w:hAnsi="Times New Roman" w:cs="Times New Roman"/>
                <w:sz w:val="20"/>
                <w:szCs w:val="20"/>
              </w:rPr>
              <w:t xml:space="preserve">       -Epilepsy, convulsions </w:t>
            </w:r>
          </w:p>
        </w:tc>
        <w:tc>
          <w:tcPr>
            <w:tcW w:w="591" w:type="pct"/>
            <w:tcMar>
              <w:top w:w="100" w:type="nil"/>
              <w:right w:w="100" w:type="nil"/>
            </w:tcMar>
          </w:tcPr>
          <w:p w:rsidR="00517C19" w:rsidRPr="00A41DAC" w:rsidDel="00877152"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p>
        </w:tc>
        <w:tc>
          <w:tcPr>
            <w:tcW w:w="592" w:type="pct"/>
          </w:tcPr>
          <w:p w:rsidR="00517C19" w:rsidRPr="00A41DAC" w:rsidDel="00877152"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654" w:type="pct"/>
            <w:tcMar>
              <w:top w:w="100" w:type="nil"/>
              <w:right w:w="100" w:type="nil"/>
            </w:tcMar>
          </w:tcPr>
          <w:p w:rsidR="00517C19" w:rsidRPr="00A41DAC" w:rsidDel="00877152"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24,825</w:t>
            </w:r>
          </w:p>
        </w:tc>
        <w:tc>
          <w:tcPr>
            <w:tcW w:w="654" w:type="pct"/>
          </w:tcPr>
          <w:p w:rsidR="00517C19" w:rsidRPr="00A41DAC" w:rsidDel="00877152"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13,660</w:t>
            </w:r>
          </w:p>
        </w:tc>
        <w:tc>
          <w:tcPr>
            <w:tcW w:w="663" w:type="pct"/>
            <w:tcMar>
              <w:top w:w="100" w:type="nil"/>
              <w:right w:w="100" w:type="nil"/>
            </w:tcMar>
          </w:tcPr>
          <w:p w:rsidR="00517C19" w:rsidRPr="00A41DAC" w:rsidDel="00877152" w:rsidRDefault="00517C19" w:rsidP="006D4221">
            <w:pPr>
              <w:autoSpaceDE w:val="0"/>
              <w:autoSpaceDN w:val="0"/>
              <w:adjustRightInd w:val="0"/>
              <w:spacing w:after="0" w:line="240" w:lineRule="auto"/>
              <w:rPr>
                <w:rFonts w:ascii="Times New Roman" w:hAnsi="Times New Roman" w:cs="Times New Roman"/>
                <w:sz w:val="20"/>
                <w:szCs w:val="20"/>
              </w:rPr>
            </w:pPr>
            <w:r w:rsidRPr="003D100E">
              <w:rPr>
                <w:rFonts w:ascii="Times New Roman" w:hAnsi="Times New Roman" w:cs="Times New Roman"/>
                <w:sz w:val="20"/>
                <w:szCs w:val="20"/>
              </w:rPr>
              <w:t>7</w:t>
            </w:r>
            <w:r>
              <w:rPr>
                <w:rFonts w:ascii="Times New Roman" w:hAnsi="Times New Roman" w:cs="Times New Roman"/>
                <w:sz w:val="20"/>
                <w:szCs w:val="20"/>
              </w:rPr>
              <w:t>,</w:t>
            </w:r>
            <w:r w:rsidRPr="003D100E">
              <w:rPr>
                <w:rFonts w:ascii="Times New Roman" w:hAnsi="Times New Roman" w:cs="Times New Roman"/>
                <w:sz w:val="20"/>
                <w:szCs w:val="20"/>
              </w:rPr>
              <w:t>665</w:t>
            </w:r>
          </w:p>
        </w:tc>
        <w:tc>
          <w:tcPr>
            <w:tcW w:w="662" w:type="pct"/>
          </w:tcPr>
          <w:p w:rsidR="00517C19" w:rsidRPr="00A41DAC" w:rsidDel="00877152"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4,175</w:t>
            </w:r>
          </w:p>
        </w:tc>
      </w:tr>
      <w:tr w:rsidR="00517C19" w:rsidRPr="00445DE2" w:rsidTr="006D4221">
        <w:tc>
          <w:tcPr>
            <w:tcW w:w="1184" w:type="pct"/>
            <w:tcMar>
              <w:top w:w="100" w:type="nil"/>
              <w:right w:w="100" w:type="nil"/>
            </w:tcMar>
          </w:tcPr>
          <w:p w:rsidR="00517C19" w:rsidRPr="00A41DAC" w:rsidDel="00877152" w:rsidRDefault="00517C19" w:rsidP="006D4221">
            <w:pPr>
              <w:autoSpaceDE w:val="0"/>
              <w:autoSpaceDN w:val="0"/>
              <w:adjustRightInd w:val="0"/>
              <w:spacing w:after="0" w:line="240" w:lineRule="auto"/>
              <w:rPr>
                <w:rFonts w:ascii="Times New Roman" w:hAnsi="Times New Roman" w:cs="Times New Roman"/>
                <w:sz w:val="20"/>
                <w:szCs w:val="20"/>
              </w:rPr>
            </w:pPr>
            <w:r w:rsidRPr="00A41DAC">
              <w:rPr>
                <w:rFonts w:ascii="Times New Roman" w:hAnsi="Times New Roman" w:cs="Times New Roman"/>
                <w:sz w:val="20"/>
                <w:szCs w:val="20"/>
              </w:rPr>
              <w:t xml:space="preserve">       -Pancreatic disorders </w:t>
            </w:r>
          </w:p>
        </w:tc>
        <w:tc>
          <w:tcPr>
            <w:tcW w:w="591" w:type="pct"/>
            <w:tcMar>
              <w:top w:w="100" w:type="nil"/>
              <w:right w:w="100" w:type="nil"/>
            </w:tcMar>
          </w:tcPr>
          <w:p w:rsidR="00517C19" w:rsidRPr="00A41DAC" w:rsidDel="00877152" w:rsidRDefault="00517C19" w:rsidP="006D4221">
            <w:pPr>
              <w:autoSpaceDE w:val="0"/>
              <w:autoSpaceDN w:val="0"/>
              <w:adjustRightInd w:val="0"/>
              <w:spacing w:after="0" w:line="240" w:lineRule="auto"/>
              <w:rPr>
                <w:rFonts w:ascii="Times New Roman" w:hAnsi="Times New Roman" w:cs="Times New Roman"/>
                <w:sz w:val="20"/>
                <w:szCs w:val="20"/>
              </w:rPr>
            </w:pPr>
            <w:r w:rsidRPr="00EB22EA">
              <w:rPr>
                <w:rFonts w:ascii="Times New Roman" w:hAnsi="Times New Roman" w:cs="Times New Roman"/>
                <w:sz w:val="20"/>
                <w:szCs w:val="20"/>
              </w:rPr>
              <w:t>5.1</w:t>
            </w:r>
          </w:p>
        </w:tc>
        <w:tc>
          <w:tcPr>
            <w:tcW w:w="592" w:type="pct"/>
          </w:tcPr>
          <w:p w:rsidR="00517C19" w:rsidRPr="00A41DAC" w:rsidDel="00877152"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654" w:type="pct"/>
            <w:tcMar>
              <w:top w:w="100" w:type="nil"/>
              <w:right w:w="100" w:type="nil"/>
            </w:tcMar>
          </w:tcPr>
          <w:p w:rsidR="00517C19" w:rsidRPr="00A41DAC" w:rsidDel="00877152"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36,617</w:t>
            </w:r>
          </w:p>
        </w:tc>
        <w:tc>
          <w:tcPr>
            <w:tcW w:w="654" w:type="pct"/>
          </w:tcPr>
          <w:p w:rsidR="00517C19" w:rsidRPr="00A41DAC" w:rsidDel="00877152"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19,916</w:t>
            </w:r>
          </w:p>
        </w:tc>
        <w:tc>
          <w:tcPr>
            <w:tcW w:w="663" w:type="pct"/>
            <w:tcMar>
              <w:top w:w="100" w:type="nil"/>
              <w:right w:w="100" w:type="nil"/>
            </w:tcMar>
          </w:tcPr>
          <w:p w:rsidR="00517C19" w:rsidRPr="00A41DAC" w:rsidDel="00877152" w:rsidRDefault="00517C19" w:rsidP="006D4221">
            <w:pPr>
              <w:autoSpaceDE w:val="0"/>
              <w:autoSpaceDN w:val="0"/>
              <w:adjustRightInd w:val="0"/>
              <w:spacing w:after="0" w:line="240" w:lineRule="auto"/>
              <w:rPr>
                <w:rFonts w:ascii="Times New Roman" w:hAnsi="Times New Roman" w:cs="Times New Roman"/>
                <w:sz w:val="20"/>
                <w:szCs w:val="20"/>
              </w:rPr>
            </w:pPr>
            <w:r w:rsidRPr="003D100E">
              <w:rPr>
                <w:rFonts w:ascii="Times New Roman" w:hAnsi="Times New Roman" w:cs="Times New Roman"/>
                <w:sz w:val="20"/>
                <w:szCs w:val="20"/>
              </w:rPr>
              <w:t>11</w:t>
            </w:r>
            <w:r>
              <w:rPr>
                <w:rFonts w:ascii="Times New Roman" w:hAnsi="Times New Roman" w:cs="Times New Roman"/>
                <w:sz w:val="20"/>
                <w:szCs w:val="20"/>
              </w:rPr>
              <w:t>,</w:t>
            </w:r>
            <w:r w:rsidRPr="003D100E">
              <w:rPr>
                <w:rFonts w:ascii="Times New Roman" w:hAnsi="Times New Roman" w:cs="Times New Roman"/>
                <w:sz w:val="20"/>
                <w:szCs w:val="20"/>
              </w:rPr>
              <w:t>280</w:t>
            </w:r>
          </w:p>
        </w:tc>
        <w:tc>
          <w:tcPr>
            <w:tcW w:w="662" w:type="pct"/>
          </w:tcPr>
          <w:p w:rsidR="00517C19" w:rsidRPr="00A41DAC" w:rsidDel="00877152"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6,315</w:t>
            </w:r>
          </w:p>
        </w:tc>
      </w:tr>
      <w:tr w:rsidR="00517C19" w:rsidRPr="00445DE2" w:rsidTr="006D4221">
        <w:tc>
          <w:tcPr>
            <w:tcW w:w="1184" w:type="pct"/>
            <w:tcMar>
              <w:top w:w="100" w:type="nil"/>
              <w:right w:w="100" w:type="nil"/>
            </w:tcMar>
          </w:tcPr>
          <w:p w:rsidR="00517C19" w:rsidRPr="00A41DAC" w:rsidDel="00877152" w:rsidRDefault="00517C19" w:rsidP="006D4221">
            <w:pPr>
              <w:autoSpaceDE w:val="0"/>
              <w:autoSpaceDN w:val="0"/>
              <w:adjustRightInd w:val="0"/>
              <w:spacing w:after="0" w:line="240" w:lineRule="auto"/>
              <w:rPr>
                <w:rFonts w:ascii="Times New Roman" w:hAnsi="Times New Roman" w:cs="Times New Roman"/>
                <w:sz w:val="20"/>
                <w:szCs w:val="20"/>
              </w:rPr>
            </w:pPr>
            <w:r w:rsidRPr="00A41DAC">
              <w:rPr>
                <w:rFonts w:ascii="Times New Roman" w:hAnsi="Times New Roman" w:cs="Times New Roman"/>
                <w:sz w:val="20"/>
                <w:szCs w:val="20"/>
              </w:rPr>
              <w:t xml:space="preserve">       -Other bone disease </w:t>
            </w:r>
          </w:p>
        </w:tc>
        <w:tc>
          <w:tcPr>
            <w:tcW w:w="591" w:type="pct"/>
            <w:tcMar>
              <w:top w:w="100" w:type="nil"/>
              <w:right w:w="100" w:type="nil"/>
            </w:tcMar>
          </w:tcPr>
          <w:p w:rsidR="00517C19" w:rsidRPr="00A41DAC" w:rsidDel="00877152"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p>
        </w:tc>
        <w:tc>
          <w:tcPr>
            <w:tcW w:w="592" w:type="pct"/>
          </w:tcPr>
          <w:p w:rsidR="00517C19" w:rsidRPr="00A41DAC" w:rsidDel="00877152"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654" w:type="pct"/>
            <w:tcMar>
              <w:top w:w="100" w:type="nil"/>
              <w:right w:w="100" w:type="nil"/>
            </w:tcMar>
          </w:tcPr>
          <w:p w:rsidR="00517C19" w:rsidRPr="00A41DAC" w:rsidDel="00877152" w:rsidRDefault="00517C19" w:rsidP="006D4221">
            <w:pPr>
              <w:autoSpaceDE w:val="0"/>
              <w:autoSpaceDN w:val="0"/>
              <w:adjustRightInd w:val="0"/>
              <w:spacing w:after="0" w:line="240" w:lineRule="auto"/>
              <w:rPr>
                <w:rFonts w:ascii="Times New Roman" w:hAnsi="Times New Roman" w:cs="Times New Roman"/>
                <w:sz w:val="20"/>
                <w:szCs w:val="20"/>
              </w:rPr>
            </w:pPr>
            <w:r w:rsidRPr="00F701B6">
              <w:rPr>
                <w:rFonts w:ascii="Times New Roman" w:hAnsi="Times New Roman" w:cs="Times New Roman"/>
                <w:sz w:val="20"/>
                <w:szCs w:val="20"/>
              </w:rPr>
              <w:t>113</w:t>
            </w:r>
            <w:r>
              <w:rPr>
                <w:rFonts w:ascii="Times New Roman" w:hAnsi="Times New Roman" w:cs="Times New Roman"/>
                <w:sz w:val="20"/>
                <w:szCs w:val="20"/>
              </w:rPr>
              <w:t>,</w:t>
            </w:r>
            <w:r w:rsidRPr="00F701B6">
              <w:rPr>
                <w:rFonts w:ascii="Times New Roman" w:hAnsi="Times New Roman" w:cs="Times New Roman"/>
                <w:sz w:val="20"/>
                <w:szCs w:val="20"/>
              </w:rPr>
              <w:t>466</w:t>
            </w:r>
          </w:p>
        </w:tc>
        <w:tc>
          <w:tcPr>
            <w:tcW w:w="654" w:type="pct"/>
          </w:tcPr>
          <w:p w:rsidR="00517C19" w:rsidRPr="00A41DAC" w:rsidDel="00877152"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88,166</w:t>
            </w:r>
          </w:p>
        </w:tc>
        <w:tc>
          <w:tcPr>
            <w:tcW w:w="663" w:type="pct"/>
            <w:tcMar>
              <w:top w:w="100" w:type="nil"/>
              <w:right w:w="100" w:type="nil"/>
            </w:tcMar>
          </w:tcPr>
          <w:p w:rsidR="00517C19" w:rsidRPr="00A41DAC" w:rsidDel="00877152" w:rsidRDefault="00517C19" w:rsidP="006D4221">
            <w:pPr>
              <w:autoSpaceDE w:val="0"/>
              <w:autoSpaceDN w:val="0"/>
              <w:adjustRightInd w:val="0"/>
              <w:spacing w:after="0" w:line="240" w:lineRule="auto"/>
              <w:rPr>
                <w:rFonts w:ascii="Times New Roman" w:hAnsi="Times New Roman" w:cs="Times New Roman"/>
                <w:sz w:val="20"/>
                <w:szCs w:val="20"/>
              </w:rPr>
            </w:pPr>
            <w:r w:rsidRPr="003D100E">
              <w:rPr>
                <w:rFonts w:ascii="Times New Roman" w:hAnsi="Times New Roman" w:cs="Times New Roman"/>
                <w:sz w:val="20"/>
                <w:szCs w:val="20"/>
              </w:rPr>
              <w:t>37</w:t>
            </w:r>
            <w:r>
              <w:rPr>
                <w:rFonts w:ascii="Times New Roman" w:hAnsi="Times New Roman" w:cs="Times New Roman"/>
                <w:sz w:val="20"/>
                <w:szCs w:val="20"/>
              </w:rPr>
              <w:t>,</w:t>
            </w:r>
            <w:r w:rsidRPr="003D100E">
              <w:rPr>
                <w:rFonts w:ascii="Times New Roman" w:hAnsi="Times New Roman" w:cs="Times New Roman"/>
                <w:sz w:val="20"/>
                <w:szCs w:val="20"/>
              </w:rPr>
              <w:t>485</w:t>
            </w:r>
          </w:p>
        </w:tc>
        <w:tc>
          <w:tcPr>
            <w:tcW w:w="662" w:type="pct"/>
          </w:tcPr>
          <w:p w:rsidR="00517C19" w:rsidRPr="00A41DAC" w:rsidDel="00877152"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32,375</w:t>
            </w:r>
          </w:p>
        </w:tc>
      </w:tr>
      <w:tr w:rsidR="00517C19" w:rsidRPr="00445DE2" w:rsidTr="006D4221">
        <w:tc>
          <w:tcPr>
            <w:tcW w:w="1184" w:type="pct"/>
            <w:tcMar>
              <w:top w:w="100" w:type="nil"/>
              <w:right w:w="100" w:type="nil"/>
            </w:tcMar>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sidRPr="00A41DAC">
              <w:rPr>
                <w:rFonts w:ascii="Times New Roman" w:hAnsi="Times New Roman" w:cs="Times New Roman"/>
                <w:sz w:val="20"/>
                <w:szCs w:val="20"/>
              </w:rPr>
              <w:t xml:space="preserve">       -Other nervous system disorders</w:t>
            </w:r>
          </w:p>
        </w:tc>
        <w:tc>
          <w:tcPr>
            <w:tcW w:w="591" w:type="pct"/>
            <w:tcMar>
              <w:top w:w="100" w:type="nil"/>
              <w:right w:w="100" w:type="nil"/>
            </w:tcMar>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sidRPr="00F701B6">
              <w:rPr>
                <w:rFonts w:ascii="Times New Roman" w:hAnsi="Times New Roman" w:cs="Times New Roman"/>
                <w:sz w:val="20"/>
                <w:szCs w:val="20"/>
              </w:rPr>
              <w:t>4.4</w:t>
            </w:r>
          </w:p>
        </w:tc>
        <w:tc>
          <w:tcPr>
            <w:tcW w:w="592" w:type="pct"/>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654" w:type="pct"/>
            <w:tcMar>
              <w:top w:w="100" w:type="nil"/>
              <w:right w:w="100" w:type="nil"/>
            </w:tcMar>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51,554</w:t>
            </w:r>
          </w:p>
        </w:tc>
        <w:tc>
          <w:tcPr>
            <w:tcW w:w="654" w:type="pct"/>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29,334</w:t>
            </w:r>
          </w:p>
        </w:tc>
        <w:tc>
          <w:tcPr>
            <w:tcW w:w="663" w:type="pct"/>
            <w:tcMar>
              <w:top w:w="100" w:type="nil"/>
              <w:right w:w="100" w:type="nil"/>
            </w:tcMar>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sidRPr="003D100E">
              <w:rPr>
                <w:rFonts w:ascii="Times New Roman" w:hAnsi="Times New Roman" w:cs="Times New Roman"/>
                <w:sz w:val="20"/>
                <w:szCs w:val="20"/>
              </w:rPr>
              <w:t>16</w:t>
            </w:r>
            <w:r>
              <w:rPr>
                <w:rFonts w:ascii="Times New Roman" w:hAnsi="Times New Roman" w:cs="Times New Roman"/>
                <w:sz w:val="20"/>
                <w:szCs w:val="20"/>
              </w:rPr>
              <w:t>,</w:t>
            </w:r>
            <w:r w:rsidRPr="003D100E">
              <w:rPr>
                <w:rFonts w:ascii="Times New Roman" w:hAnsi="Times New Roman" w:cs="Times New Roman"/>
                <w:sz w:val="20"/>
                <w:szCs w:val="20"/>
              </w:rPr>
              <w:t>293</w:t>
            </w:r>
          </w:p>
        </w:tc>
        <w:tc>
          <w:tcPr>
            <w:tcW w:w="662" w:type="pct"/>
          </w:tcPr>
          <w:p w:rsidR="00517C19" w:rsidRPr="00A41DAC"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9,562</w:t>
            </w:r>
          </w:p>
        </w:tc>
      </w:tr>
      <w:tr w:rsidR="00517C19" w:rsidRPr="00445DE2" w:rsidTr="006D4221">
        <w:tc>
          <w:tcPr>
            <w:tcW w:w="1184" w:type="pct"/>
            <w:tcBorders>
              <w:bottom w:val="single" w:sz="4" w:space="0" w:color="auto"/>
            </w:tcBorders>
            <w:tcMar>
              <w:top w:w="100" w:type="nil"/>
              <w:right w:w="100" w:type="nil"/>
            </w:tcMar>
          </w:tcPr>
          <w:p w:rsidR="00517C19" w:rsidRPr="00A41DAC" w:rsidDel="00877152" w:rsidRDefault="00517C19" w:rsidP="006D4221">
            <w:pPr>
              <w:autoSpaceDE w:val="0"/>
              <w:autoSpaceDN w:val="0"/>
              <w:adjustRightInd w:val="0"/>
              <w:spacing w:after="0" w:line="240" w:lineRule="auto"/>
              <w:rPr>
                <w:rFonts w:ascii="Times New Roman" w:hAnsi="Times New Roman" w:cs="Times New Roman"/>
                <w:sz w:val="20"/>
                <w:szCs w:val="20"/>
              </w:rPr>
            </w:pPr>
            <w:r w:rsidRPr="00A41DAC">
              <w:rPr>
                <w:rFonts w:ascii="Times New Roman" w:hAnsi="Times New Roman" w:cs="Times New Roman"/>
                <w:sz w:val="20"/>
                <w:szCs w:val="20"/>
              </w:rPr>
              <w:t xml:space="preserve">       -Fracture of lower limb </w:t>
            </w:r>
          </w:p>
        </w:tc>
        <w:tc>
          <w:tcPr>
            <w:tcW w:w="591" w:type="pct"/>
            <w:tcBorders>
              <w:bottom w:val="single" w:sz="4" w:space="0" w:color="auto"/>
            </w:tcBorders>
            <w:tcMar>
              <w:top w:w="100" w:type="nil"/>
              <w:right w:w="100" w:type="nil"/>
            </w:tcMar>
          </w:tcPr>
          <w:p w:rsidR="00517C19" w:rsidRPr="00A41DAC" w:rsidDel="00877152"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p>
        </w:tc>
        <w:tc>
          <w:tcPr>
            <w:tcW w:w="592" w:type="pct"/>
            <w:tcBorders>
              <w:bottom w:val="single" w:sz="4" w:space="0" w:color="auto"/>
            </w:tcBorders>
          </w:tcPr>
          <w:p w:rsidR="00517C19" w:rsidRPr="00A41DAC" w:rsidDel="00877152"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654" w:type="pct"/>
            <w:tcBorders>
              <w:bottom w:val="single" w:sz="4" w:space="0" w:color="auto"/>
            </w:tcBorders>
            <w:tcMar>
              <w:top w:w="100" w:type="nil"/>
              <w:right w:w="100" w:type="nil"/>
            </w:tcMar>
          </w:tcPr>
          <w:p w:rsidR="00517C19" w:rsidRPr="00A41DAC" w:rsidDel="00877152" w:rsidRDefault="00517C19" w:rsidP="006D4221">
            <w:pPr>
              <w:autoSpaceDE w:val="0"/>
              <w:autoSpaceDN w:val="0"/>
              <w:adjustRightInd w:val="0"/>
              <w:spacing w:after="0" w:line="240" w:lineRule="auto"/>
              <w:rPr>
                <w:rFonts w:ascii="Times New Roman" w:hAnsi="Times New Roman" w:cs="Times New Roman"/>
                <w:sz w:val="20"/>
                <w:szCs w:val="20"/>
              </w:rPr>
            </w:pPr>
            <w:r w:rsidRPr="00F701B6">
              <w:rPr>
                <w:rFonts w:ascii="Times New Roman" w:hAnsi="Times New Roman" w:cs="Times New Roman"/>
                <w:sz w:val="20"/>
                <w:szCs w:val="20"/>
              </w:rPr>
              <w:t>44</w:t>
            </w:r>
            <w:r>
              <w:rPr>
                <w:rFonts w:ascii="Times New Roman" w:hAnsi="Times New Roman" w:cs="Times New Roman"/>
                <w:sz w:val="20"/>
                <w:szCs w:val="20"/>
              </w:rPr>
              <w:t>,</w:t>
            </w:r>
            <w:r w:rsidRPr="00F701B6">
              <w:rPr>
                <w:rFonts w:ascii="Times New Roman" w:hAnsi="Times New Roman" w:cs="Times New Roman"/>
                <w:sz w:val="20"/>
                <w:szCs w:val="20"/>
              </w:rPr>
              <w:t>349</w:t>
            </w:r>
          </w:p>
        </w:tc>
        <w:tc>
          <w:tcPr>
            <w:tcW w:w="654" w:type="pct"/>
            <w:tcBorders>
              <w:bottom w:val="single" w:sz="4" w:space="0" w:color="auto"/>
            </w:tcBorders>
          </w:tcPr>
          <w:p w:rsidR="00517C19" w:rsidRPr="00A41DAC" w:rsidDel="00877152"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28,749</w:t>
            </w:r>
          </w:p>
        </w:tc>
        <w:tc>
          <w:tcPr>
            <w:tcW w:w="663" w:type="pct"/>
            <w:tcBorders>
              <w:bottom w:val="single" w:sz="4" w:space="0" w:color="auto"/>
            </w:tcBorders>
            <w:tcMar>
              <w:top w:w="100" w:type="nil"/>
              <w:right w:w="100" w:type="nil"/>
            </w:tcMar>
          </w:tcPr>
          <w:p w:rsidR="00517C19" w:rsidRPr="00A41DAC" w:rsidDel="00877152"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13,320</w:t>
            </w:r>
          </w:p>
        </w:tc>
        <w:tc>
          <w:tcPr>
            <w:tcW w:w="662" w:type="pct"/>
            <w:tcBorders>
              <w:bottom w:val="single" w:sz="4" w:space="0" w:color="auto"/>
            </w:tcBorders>
          </w:tcPr>
          <w:p w:rsidR="00517C19" w:rsidRPr="00A41DAC" w:rsidDel="00877152" w:rsidRDefault="00517C19" w:rsidP="006D422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9,384</w:t>
            </w:r>
          </w:p>
        </w:tc>
      </w:tr>
    </w:tbl>
    <w:p w:rsidR="00517C19" w:rsidRPr="00DB1E78" w:rsidRDefault="00517C19" w:rsidP="00517C19">
      <w:pPr>
        <w:spacing w:after="0"/>
        <w:rPr>
          <w:rFonts w:ascii="Times New Roman" w:hAnsi="Times New Roman" w:cs="Times New Roman"/>
          <w:sz w:val="18"/>
          <w:szCs w:val="18"/>
        </w:rPr>
      </w:pPr>
      <w:r w:rsidRPr="00DB1E78">
        <w:rPr>
          <w:rFonts w:ascii="Times New Roman" w:hAnsi="Times New Roman" w:cs="Times New Roman"/>
          <w:sz w:val="18"/>
          <w:szCs w:val="18"/>
        </w:rPr>
        <w:t>SOURCE: Authors’ analysis of data from the National Inpatient Sample (NIS), 2006-2016.</w:t>
      </w:r>
    </w:p>
    <w:p w:rsidR="00517C19" w:rsidRPr="004806F5" w:rsidRDefault="00517C19" w:rsidP="00517C19">
      <w:pPr>
        <w:rPr>
          <w:rFonts w:ascii="Times New Roman" w:hAnsi="Times New Roman" w:cs="Times New Roman"/>
          <w:b/>
          <w:sz w:val="24"/>
          <w:szCs w:val="24"/>
        </w:rPr>
        <w:sectPr w:rsidR="00517C19" w:rsidRPr="004806F5" w:rsidSect="006D4221">
          <w:pgSz w:w="15840" w:h="12240" w:orient="landscape"/>
          <w:pgMar w:top="1080" w:right="1080" w:bottom="1080" w:left="1080" w:header="720" w:footer="720" w:gutter="0"/>
          <w:cols w:space="720"/>
          <w:docGrid w:linePitch="360"/>
        </w:sectPr>
      </w:pPr>
    </w:p>
    <w:p w:rsidR="00517C19" w:rsidRDefault="00517C19" w:rsidP="00517C19">
      <w:pPr>
        <w:rPr>
          <w:rFonts w:ascii="Times New Roman" w:hAnsi="Times New Roman" w:cs="Times New Roman"/>
          <w:sz w:val="24"/>
          <w:szCs w:val="24"/>
        </w:rPr>
      </w:pPr>
      <w:r>
        <w:rPr>
          <w:rFonts w:ascii="Times New Roman" w:hAnsi="Times New Roman" w:cs="Times New Roman"/>
          <w:sz w:val="24"/>
          <w:szCs w:val="24"/>
        </w:rPr>
        <w:lastRenderedPageBreak/>
        <w:t xml:space="preserve">Appendix Table </w:t>
      </w:r>
      <w:r w:rsidR="00270777">
        <w:rPr>
          <w:rFonts w:ascii="Times New Roman" w:hAnsi="Times New Roman" w:cs="Times New Roman"/>
          <w:sz w:val="24"/>
          <w:szCs w:val="24"/>
        </w:rPr>
        <w:t>A</w:t>
      </w:r>
      <w:r w:rsidR="00954892">
        <w:rPr>
          <w:rFonts w:ascii="Times New Roman" w:hAnsi="Times New Roman" w:cs="Times New Roman"/>
          <w:sz w:val="24"/>
          <w:szCs w:val="24"/>
        </w:rPr>
        <w:t>3</w:t>
      </w:r>
      <w:r>
        <w:rPr>
          <w:rFonts w:ascii="Times New Roman" w:hAnsi="Times New Roman" w:cs="Times New Roman"/>
          <w:sz w:val="24"/>
          <w:szCs w:val="24"/>
        </w:rPr>
        <w:t xml:space="preserve">. </w:t>
      </w:r>
      <w:r w:rsidRPr="00AE53CD">
        <w:rPr>
          <w:rFonts w:ascii="Times New Roman" w:hAnsi="Times New Roman" w:cs="Times New Roman"/>
          <w:sz w:val="24"/>
          <w:szCs w:val="24"/>
        </w:rPr>
        <w:t xml:space="preserve">Length of Stay, Charges and Costs For Hospitalizations Among Children and Youth Ages 2 – 19 With </w:t>
      </w:r>
      <w:r>
        <w:rPr>
          <w:rFonts w:ascii="Times New Roman" w:hAnsi="Times New Roman" w:cs="Times New Roman"/>
          <w:sz w:val="24"/>
          <w:szCs w:val="24"/>
        </w:rPr>
        <w:t>A</w:t>
      </w:r>
      <w:r w:rsidRPr="00AE53CD">
        <w:rPr>
          <w:rFonts w:ascii="Times New Roman" w:hAnsi="Times New Roman" w:cs="Times New Roman"/>
          <w:sz w:val="24"/>
          <w:szCs w:val="24"/>
        </w:rPr>
        <w:t xml:space="preserve"> Diagnos</w:t>
      </w:r>
      <w:r>
        <w:rPr>
          <w:rFonts w:ascii="Times New Roman" w:hAnsi="Times New Roman" w:cs="Times New Roman"/>
          <w:sz w:val="24"/>
          <w:szCs w:val="24"/>
        </w:rPr>
        <w:t>is</w:t>
      </w:r>
      <w:r w:rsidRPr="00AE53CD">
        <w:rPr>
          <w:rFonts w:ascii="Times New Roman" w:hAnsi="Times New Roman" w:cs="Times New Roman"/>
          <w:sz w:val="24"/>
          <w:szCs w:val="24"/>
        </w:rPr>
        <w:t xml:space="preserve"> of Obesity, 2006 - 2016</w:t>
      </w:r>
      <w:r>
        <w:rPr>
          <w:rFonts w:ascii="Times New Roman" w:hAnsi="Times New Roman" w:cs="Times New Roman"/>
          <w:sz w:val="24"/>
          <w:szCs w:val="24"/>
        </w:rPr>
        <w:t xml:space="preserve"> – Using Percent Incremental Difference</w:t>
      </w:r>
    </w:p>
    <w:tbl>
      <w:tblPr>
        <w:tblW w:w="5001" w:type="pct"/>
        <w:tblLayout w:type="fixed"/>
        <w:tblLook w:val="0000" w:firstRow="0" w:lastRow="0" w:firstColumn="0" w:lastColumn="0" w:noHBand="0" w:noVBand="0"/>
      </w:tblPr>
      <w:tblGrid>
        <w:gridCol w:w="3241"/>
        <w:gridCol w:w="3237"/>
        <w:gridCol w:w="3579"/>
        <w:gridCol w:w="3626"/>
      </w:tblGrid>
      <w:tr w:rsidR="00517C19" w:rsidRPr="00F009B6" w:rsidTr="006D4221">
        <w:tc>
          <w:tcPr>
            <w:tcW w:w="1184" w:type="pct"/>
            <w:tcBorders>
              <w:top w:val="single" w:sz="4" w:space="0" w:color="auto"/>
              <w:bottom w:val="single" w:sz="4" w:space="0" w:color="auto"/>
            </w:tcBorders>
            <w:tcMar>
              <w:top w:w="100" w:type="nil"/>
              <w:right w:w="100" w:type="nil"/>
            </w:tcMar>
            <w:vAlign w:val="center"/>
          </w:tcPr>
          <w:p w:rsidR="00517C19" w:rsidRPr="00F009B6" w:rsidRDefault="00517C19" w:rsidP="006D4221">
            <w:pPr>
              <w:autoSpaceDE w:val="0"/>
              <w:autoSpaceDN w:val="0"/>
              <w:adjustRightInd w:val="0"/>
              <w:spacing w:after="0" w:line="240" w:lineRule="auto"/>
              <w:rPr>
                <w:rFonts w:ascii="Times New Roman" w:hAnsi="Times New Roman" w:cs="Times New Roman"/>
                <w:sz w:val="20"/>
                <w:szCs w:val="20"/>
              </w:rPr>
            </w:pPr>
          </w:p>
        </w:tc>
        <w:tc>
          <w:tcPr>
            <w:tcW w:w="1183" w:type="pct"/>
            <w:tcBorders>
              <w:top w:val="single" w:sz="4" w:space="0" w:color="auto"/>
              <w:bottom w:val="single" w:sz="4" w:space="0" w:color="auto"/>
            </w:tcBorders>
            <w:tcMar>
              <w:top w:w="100" w:type="nil"/>
              <w:right w:w="100" w:type="nil"/>
            </w:tcMar>
            <w:vAlign w:val="center"/>
          </w:tcPr>
          <w:p w:rsidR="00517C19" w:rsidRPr="00F009B6" w:rsidRDefault="00517C19" w:rsidP="006D42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F009B6">
              <w:rPr>
                <w:rFonts w:ascii="Times New Roman" w:hAnsi="Times New Roman" w:cs="Times New Roman"/>
                <w:sz w:val="20"/>
                <w:szCs w:val="20"/>
              </w:rPr>
              <w:t xml:space="preserve">Increment (95% CI) in </w:t>
            </w:r>
            <w:r>
              <w:rPr>
                <w:rFonts w:ascii="Times New Roman" w:hAnsi="Times New Roman" w:cs="Times New Roman"/>
                <w:sz w:val="20"/>
                <w:szCs w:val="20"/>
              </w:rPr>
              <w:t>length of stay (days)</w:t>
            </w:r>
            <w:r w:rsidRPr="00F009B6">
              <w:rPr>
                <w:rFonts w:ascii="Times New Roman" w:hAnsi="Times New Roman" w:cs="Times New Roman"/>
                <w:sz w:val="20"/>
                <w:szCs w:val="20"/>
              </w:rPr>
              <w:t xml:space="preserve"> associated with diagnosis of obesity</w:t>
            </w:r>
          </w:p>
        </w:tc>
        <w:tc>
          <w:tcPr>
            <w:tcW w:w="1308" w:type="pct"/>
            <w:tcBorders>
              <w:top w:val="single" w:sz="4" w:space="0" w:color="auto"/>
              <w:bottom w:val="single" w:sz="4" w:space="0" w:color="auto"/>
            </w:tcBorders>
            <w:tcMar>
              <w:top w:w="100" w:type="nil"/>
              <w:right w:w="100" w:type="nil"/>
            </w:tcMar>
            <w:vAlign w:val="center"/>
          </w:tcPr>
          <w:p w:rsidR="00517C19" w:rsidRPr="00F009B6" w:rsidRDefault="00517C19" w:rsidP="006D42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F009B6">
              <w:rPr>
                <w:rFonts w:ascii="Times New Roman" w:hAnsi="Times New Roman" w:cs="Times New Roman"/>
                <w:sz w:val="20"/>
                <w:szCs w:val="20"/>
              </w:rPr>
              <w:t>Increment (95% CI) in total charges associated with diagnosis of obesity</w:t>
            </w:r>
          </w:p>
        </w:tc>
        <w:tc>
          <w:tcPr>
            <w:tcW w:w="1325" w:type="pct"/>
            <w:tcBorders>
              <w:top w:val="single" w:sz="4" w:space="0" w:color="auto"/>
              <w:bottom w:val="single" w:sz="4" w:space="0" w:color="auto"/>
            </w:tcBorders>
            <w:tcMar>
              <w:top w:w="100" w:type="nil"/>
              <w:right w:w="100" w:type="nil"/>
            </w:tcMar>
            <w:vAlign w:val="center"/>
          </w:tcPr>
          <w:p w:rsidR="00517C19" w:rsidRPr="00F009B6" w:rsidRDefault="00517C19" w:rsidP="006D42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F009B6">
              <w:rPr>
                <w:rFonts w:ascii="Times New Roman" w:hAnsi="Times New Roman" w:cs="Times New Roman"/>
                <w:sz w:val="20"/>
                <w:szCs w:val="20"/>
              </w:rPr>
              <w:t>Increment (95% CI) in total costs associated with diagnosis of obesity</w:t>
            </w:r>
          </w:p>
        </w:tc>
      </w:tr>
      <w:tr w:rsidR="00517C19" w:rsidRPr="00F009B6" w:rsidTr="006D4221">
        <w:tc>
          <w:tcPr>
            <w:tcW w:w="1184" w:type="pct"/>
            <w:tcBorders>
              <w:top w:val="single" w:sz="4" w:space="0" w:color="auto"/>
            </w:tcBorders>
            <w:tcMar>
              <w:top w:w="100" w:type="nil"/>
              <w:right w:w="100" w:type="nil"/>
            </w:tcMar>
            <w:vAlign w:val="center"/>
          </w:tcPr>
          <w:p w:rsidR="00517C19" w:rsidRPr="00CA67EF" w:rsidRDefault="00517C19" w:rsidP="006D4221">
            <w:pPr>
              <w:autoSpaceDE w:val="0"/>
              <w:autoSpaceDN w:val="0"/>
              <w:adjustRightInd w:val="0"/>
              <w:spacing w:after="0" w:line="240" w:lineRule="auto"/>
              <w:rPr>
                <w:rFonts w:ascii="Times New Roman" w:hAnsi="Times New Roman" w:cs="Times New Roman"/>
                <w:sz w:val="20"/>
                <w:szCs w:val="20"/>
              </w:rPr>
            </w:pPr>
            <w:r w:rsidRPr="00CA67EF">
              <w:rPr>
                <w:rFonts w:ascii="Times New Roman" w:hAnsi="Times New Roman" w:cs="Times New Roman"/>
                <w:sz w:val="20"/>
                <w:szCs w:val="20"/>
              </w:rPr>
              <w:t>Obesity as a primary diagnosis</w:t>
            </w:r>
          </w:p>
        </w:tc>
        <w:tc>
          <w:tcPr>
            <w:tcW w:w="1183" w:type="pct"/>
            <w:tcBorders>
              <w:top w:val="single" w:sz="4" w:space="0" w:color="auto"/>
            </w:tcBorders>
            <w:tcMar>
              <w:top w:w="100" w:type="nil"/>
              <w:right w:w="100" w:type="nil"/>
            </w:tcMar>
            <w:vAlign w:val="center"/>
          </w:tcPr>
          <w:p w:rsidR="00517C19" w:rsidRPr="00CA67EF" w:rsidRDefault="00517C19" w:rsidP="006D4221">
            <w:pPr>
              <w:autoSpaceDE w:val="0"/>
              <w:autoSpaceDN w:val="0"/>
              <w:adjustRightInd w:val="0"/>
              <w:spacing w:after="0" w:line="240" w:lineRule="auto"/>
              <w:rPr>
                <w:rFonts w:ascii="Times New Roman" w:hAnsi="Times New Roman" w:cs="Times New Roman"/>
                <w:sz w:val="20"/>
                <w:szCs w:val="20"/>
              </w:rPr>
            </w:pPr>
            <w:r w:rsidRPr="00CA67EF">
              <w:rPr>
                <w:rFonts w:ascii="Times New Roman" w:hAnsi="Times New Roman" w:cs="Times New Roman"/>
                <w:sz w:val="20"/>
                <w:szCs w:val="20"/>
              </w:rPr>
              <w:t>-61% (-67,-55)</w:t>
            </w:r>
            <w:r w:rsidRPr="00CA67EF">
              <w:rPr>
                <w:rFonts w:ascii="Times New Roman" w:hAnsi="Times New Roman" w:cs="Times New Roman"/>
                <w:sz w:val="20"/>
                <w:szCs w:val="20"/>
                <w:vertAlign w:val="superscript"/>
              </w:rPr>
              <w:t>***</w:t>
            </w:r>
          </w:p>
        </w:tc>
        <w:tc>
          <w:tcPr>
            <w:tcW w:w="1308" w:type="pct"/>
            <w:tcBorders>
              <w:top w:val="single" w:sz="4" w:space="0" w:color="auto"/>
            </w:tcBorders>
            <w:tcMar>
              <w:top w:w="100" w:type="nil"/>
              <w:right w:w="100" w:type="nil"/>
            </w:tcMar>
          </w:tcPr>
          <w:p w:rsidR="00517C19" w:rsidRPr="00CA67EF" w:rsidRDefault="00517C19" w:rsidP="006D4221">
            <w:pPr>
              <w:autoSpaceDE w:val="0"/>
              <w:autoSpaceDN w:val="0"/>
              <w:adjustRightInd w:val="0"/>
              <w:spacing w:after="0" w:line="240" w:lineRule="auto"/>
              <w:rPr>
                <w:rFonts w:ascii="Times New Roman" w:hAnsi="Times New Roman" w:cs="Times New Roman"/>
                <w:sz w:val="20"/>
                <w:szCs w:val="20"/>
              </w:rPr>
            </w:pPr>
            <w:r w:rsidRPr="00CA67EF">
              <w:rPr>
                <w:rFonts w:ascii="Times New Roman" w:hAnsi="Times New Roman" w:cs="Times New Roman"/>
                <w:sz w:val="20"/>
                <w:szCs w:val="20"/>
              </w:rPr>
              <w:t>+54% (47, 61)</w:t>
            </w:r>
            <w:r w:rsidRPr="00CA67EF">
              <w:rPr>
                <w:rFonts w:ascii="Times New Roman" w:hAnsi="Times New Roman" w:cs="Times New Roman"/>
                <w:sz w:val="20"/>
                <w:szCs w:val="20"/>
                <w:vertAlign w:val="superscript"/>
              </w:rPr>
              <w:t>***</w:t>
            </w:r>
          </w:p>
        </w:tc>
        <w:tc>
          <w:tcPr>
            <w:tcW w:w="1325" w:type="pct"/>
            <w:tcBorders>
              <w:top w:val="single" w:sz="4" w:space="0" w:color="auto"/>
            </w:tcBorders>
            <w:tcMar>
              <w:top w:w="100" w:type="nil"/>
              <w:right w:w="100" w:type="nil"/>
            </w:tcMar>
          </w:tcPr>
          <w:p w:rsidR="00517C19" w:rsidRPr="00CA67EF" w:rsidRDefault="00517C19" w:rsidP="006D4221">
            <w:pPr>
              <w:autoSpaceDE w:val="0"/>
              <w:autoSpaceDN w:val="0"/>
              <w:adjustRightInd w:val="0"/>
              <w:spacing w:after="0" w:line="240" w:lineRule="auto"/>
              <w:rPr>
                <w:rFonts w:ascii="Times New Roman" w:hAnsi="Times New Roman" w:cs="Times New Roman"/>
                <w:sz w:val="20"/>
                <w:szCs w:val="20"/>
              </w:rPr>
            </w:pPr>
            <w:r w:rsidRPr="00CA67EF">
              <w:rPr>
                <w:rFonts w:ascii="Times New Roman" w:hAnsi="Times New Roman" w:cs="Times New Roman"/>
                <w:sz w:val="20"/>
                <w:szCs w:val="20"/>
              </w:rPr>
              <w:t>+51% (42, 60)</w:t>
            </w:r>
            <w:r w:rsidRPr="00CA67EF">
              <w:rPr>
                <w:rFonts w:ascii="Times New Roman" w:hAnsi="Times New Roman" w:cs="Times New Roman"/>
                <w:sz w:val="20"/>
                <w:szCs w:val="20"/>
                <w:vertAlign w:val="superscript"/>
              </w:rPr>
              <w:t>***</w:t>
            </w:r>
          </w:p>
        </w:tc>
      </w:tr>
      <w:tr w:rsidR="00517C19" w:rsidRPr="00F009B6" w:rsidTr="006D4221">
        <w:tc>
          <w:tcPr>
            <w:tcW w:w="1184" w:type="pct"/>
            <w:tcMar>
              <w:top w:w="100" w:type="nil"/>
              <w:right w:w="100" w:type="nil"/>
            </w:tcMar>
            <w:vAlign w:val="center"/>
          </w:tcPr>
          <w:p w:rsidR="00517C19" w:rsidRPr="00713D18" w:rsidRDefault="00517C19" w:rsidP="006D4221">
            <w:pPr>
              <w:autoSpaceDE w:val="0"/>
              <w:autoSpaceDN w:val="0"/>
              <w:adjustRightInd w:val="0"/>
              <w:spacing w:after="0" w:line="240" w:lineRule="auto"/>
              <w:rPr>
                <w:rFonts w:ascii="Times New Roman" w:hAnsi="Times New Roman" w:cs="Times New Roman"/>
                <w:sz w:val="20"/>
                <w:szCs w:val="20"/>
              </w:rPr>
            </w:pPr>
            <w:r w:rsidRPr="00713D18">
              <w:rPr>
                <w:rFonts w:ascii="Times New Roman" w:hAnsi="Times New Roman" w:cs="Times New Roman"/>
                <w:sz w:val="20"/>
                <w:szCs w:val="20"/>
              </w:rPr>
              <w:t xml:space="preserve">   - By sex</w:t>
            </w:r>
          </w:p>
        </w:tc>
        <w:tc>
          <w:tcPr>
            <w:tcW w:w="1183" w:type="pct"/>
            <w:tcMar>
              <w:top w:w="100" w:type="nil"/>
              <w:right w:w="100" w:type="nil"/>
            </w:tcMar>
            <w:vAlign w:val="center"/>
          </w:tcPr>
          <w:p w:rsidR="00517C19" w:rsidRPr="00713D18" w:rsidRDefault="00517C19" w:rsidP="006D4221">
            <w:pPr>
              <w:autoSpaceDE w:val="0"/>
              <w:autoSpaceDN w:val="0"/>
              <w:adjustRightInd w:val="0"/>
              <w:spacing w:after="0" w:line="240" w:lineRule="auto"/>
              <w:rPr>
                <w:rFonts w:ascii="Times New Roman" w:hAnsi="Times New Roman" w:cs="Times New Roman"/>
                <w:sz w:val="20"/>
                <w:szCs w:val="20"/>
              </w:rPr>
            </w:pPr>
          </w:p>
        </w:tc>
        <w:tc>
          <w:tcPr>
            <w:tcW w:w="1308" w:type="pct"/>
            <w:tcMar>
              <w:top w:w="100" w:type="nil"/>
              <w:right w:w="100" w:type="nil"/>
            </w:tcMar>
          </w:tcPr>
          <w:p w:rsidR="00517C19" w:rsidRPr="00713D18" w:rsidRDefault="00517C19" w:rsidP="006D4221">
            <w:pPr>
              <w:autoSpaceDE w:val="0"/>
              <w:autoSpaceDN w:val="0"/>
              <w:adjustRightInd w:val="0"/>
              <w:spacing w:after="0" w:line="240" w:lineRule="auto"/>
              <w:rPr>
                <w:rFonts w:ascii="Times New Roman" w:hAnsi="Times New Roman" w:cs="Times New Roman"/>
                <w:sz w:val="20"/>
                <w:szCs w:val="20"/>
              </w:rPr>
            </w:pPr>
          </w:p>
        </w:tc>
        <w:tc>
          <w:tcPr>
            <w:tcW w:w="1325" w:type="pct"/>
            <w:tcMar>
              <w:top w:w="100" w:type="nil"/>
              <w:right w:w="100" w:type="nil"/>
            </w:tcMar>
          </w:tcPr>
          <w:p w:rsidR="00517C19" w:rsidRPr="00CA67EF" w:rsidRDefault="00517C19" w:rsidP="006D4221">
            <w:pPr>
              <w:autoSpaceDE w:val="0"/>
              <w:autoSpaceDN w:val="0"/>
              <w:adjustRightInd w:val="0"/>
              <w:spacing w:after="0" w:line="240" w:lineRule="auto"/>
              <w:rPr>
                <w:rFonts w:ascii="Times New Roman" w:hAnsi="Times New Roman" w:cs="Times New Roman"/>
                <w:sz w:val="20"/>
                <w:szCs w:val="20"/>
              </w:rPr>
            </w:pPr>
          </w:p>
        </w:tc>
      </w:tr>
      <w:tr w:rsidR="00517C19" w:rsidRPr="00F009B6" w:rsidTr="006D4221">
        <w:tc>
          <w:tcPr>
            <w:tcW w:w="1184" w:type="pct"/>
            <w:tcMar>
              <w:top w:w="100" w:type="nil"/>
              <w:right w:w="100" w:type="nil"/>
            </w:tcMar>
            <w:vAlign w:val="center"/>
          </w:tcPr>
          <w:p w:rsidR="00517C19" w:rsidRPr="00713D18" w:rsidRDefault="00517C19" w:rsidP="006D4221">
            <w:pPr>
              <w:autoSpaceDE w:val="0"/>
              <w:autoSpaceDN w:val="0"/>
              <w:adjustRightInd w:val="0"/>
              <w:spacing w:after="0" w:line="240" w:lineRule="auto"/>
              <w:rPr>
                <w:rFonts w:ascii="Times New Roman" w:hAnsi="Times New Roman" w:cs="Times New Roman"/>
                <w:sz w:val="20"/>
                <w:szCs w:val="20"/>
              </w:rPr>
            </w:pPr>
            <w:r w:rsidRPr="00713D18">
              <w:rPr>
                <w:rFonts w:ascii="Times New Roman" w:hAnsi="Times New Roman" w:cs="Times New Roman"/>
                <w:sz w:val="20"/>
                <w:szCs w:val="20"/>
              </w:rPr>
              <w:t xml:space="preserve">          -Males</w:t>
            </w:r>
          </w:p>
        </w:tc>
        <w:tc>
          <w:tcPr>
            <w:tcW w:w="1183" w:type="pct"/>
            <w:tcMar>
              <w:top w:w="100" w:type="nil"/>
              <w:right w:w="100" w:type="nil"/>
            </w:tcMar>
            <w:vAlign w:val="center"/>
          </w:tcPr>
          <w:p w:rsidR="00517C19" w:rsidRPr="00713D18" w:rsidRDefault="00517C19" w:rsidP="006D4221">
            <w:pPr>
              <w:autoSpaceDE w:val="0"/>
              <w:autoSpaceDN w:val="0"/>
              <w:adjustRightInd w:val="0"/>
              <w:spacing w:after="0" w:line="240" w:lineRule="auto"/>
              <w:rPr>
                <w:rFonts w:ascii="Times New Roman" w:hAnsi="Times New Roman" w:cs="Times New Roman"/>
                <w:sz w:val="20"/>
                <w:szCs w:val="20"/>
              </w:rPr>
            </w:pPr>
            <w:r w:rsidRPr="00713D18">
              <w:rPr>
                <w:rFonts w:ascii="Times New Roman" w:hAnsi="Times New Roman" w:cs="Times New Roman"/>
                <w:sz w:val="20"/>
                <w:szCs w:val="20"/>
              </w:rPr>
              <w:t>-59% (-76,-43)</w:t>
            </w:r>
            <w:r w:rsidRPr="00713D18">
              <w:rPr>
                <w:rFonts w:ascii="Times New Roman" w:hAnsi="Times New Roman" w:cs="Times New Roman"/>
                <w:sz w:val="20"/>
                <w:szCs w:val="20"/>
                <w:vertAlign w:val="superscript"/>
              </w:rPr>
              <w:t xml:space="preserve"> ***</w:t>
            </w:r>
          </w:p>
        </w:tc>
        <w:tc>
          <w:tcPr>
            <w:tcW w:w="1308" w:type="pct"/>
            <w:tcMar>
              <w:top w:w="100" w:type="nil"/>
              <w:right w:w="100" w:type="nil"/>
            </w:tcMar>
          </w:tcPr>
          <w:p w:rsidR="00517C19" w:rsidRPr="00713D18" w:rsidRDefault="00517C19" w:rsidP="006D4221">
            <w:pPr>
              <w:autoSpaceDE w:val="0"/>
              <w:autoSpaceDN w:val="0"/>
              <w:adjustRightInd w:val="0"/>
              <w:spacing w:after="0" w:line="240" w:lineRule="auto"/>
              <w:rPr>
                <w:rFonts w:ascii="Times New Roman" w:hAnsi="Times New Roman" w:cs="Times New Roman"/>
                <w:sz w:val="20"/>
                <w:szCs w:val="20"/>
              </w:rPr>
            </w:pPr>
            <w:r w:rsidRPr="00CA67EF">
              <w:rPr>
                <w:rFonts w:ascii="Times New Roman" w:hAnsi="Times New Roman" w:cs="Times New Roman"/>
                <w:sz w:val="20"/>
                <w:szCs w:val="20"/>
              </w:rPr>
              <w:t>+</w:t>
            </w:r>
            <w:r w:rsidRPr="00713D18">
              <w:rPr>
                <w:rFonts w:ascii="Times New Roman" w:hAnsi="Times New Roman" w:cs="Times New Roman"/>
                <w:sz w:val="20"/>
                <w:szCs w:val="20"/>
              </w:rPr>
              <w:t>37% (29, 46)</w:t>
            </w:r>
            <w:r w:rsidRPr="00713D18">
              <w:rPr>
                <w:rFonts w:ascii="Times New Roman" w:hAnsi="Times New Roman" w:cs="Times New Roman"/>
                <w:sz w:val="20"/>
                <w:szCs w:val="20"/>
                <w:vertAlign w:val="superscript"/>
              </w:rPr>
              <w:t xml:space="preserve"> ***^^^</w:t>
            </w:r>
          </w:p>
        </w:tc>
        <w:tc>
          <w:tcPr>
            <w:tcW w:w="1325" w:type="pct"/>
            <w:tcMar>
              <w:top w:w="100" w:type="nil"/>
              <w:right w:w="100" w:type="nil"/>
            </w:tcMar>
          </w:tcPr>
          <w:p w:rsidR="00517C19" w:rsidRPr="00CA67EF" w:rsidRDefault="00517C19" w:rsidP="006D4221">
            <w:pPr>
              <w:autoSpaceDE w:val="0"/>
              <w:autoSpaceDN w:val="0"/>
              <w:adjustRightInd w:val="0"/>
              <w:spacing w:after="0" w:line="240" w:lineRule="auto"/>
              <w:rPr>
                <w:rFonts w:ascii="Times New Roman" w:hAnsi="Times New Roman" w:cs="Times New Roman"/>
                <w:sz w:val="20"/>
                <w:szCs w:val="20"/>
              </w:rPr>
            </w:pPr>
            <w:r w:rsidRPr="00713D18">
              <w:rPr>
                <w:rFonts w:ascii="Times New Roman" w:hAnsi="Times New Roman" w:cs="Times New Roman"/>
                <w:sz w:val="20"/>
                <w:szCs w:val="20"/>
              </w:rPr>
              <w:t>+34%(24, 45)</w:t>
            </w:r>
            <w:r w:rsidRPr="00713D18">
              <w:rPr>
                <w:rFonts w:ascii="Times New Roman" w:hAnsi="Times New Roman" w:cs="Times New Roman"/>
                <w:sz w:val="20"/>
                <w:szCs w:val="20"/>
                <w:vertAlign w:val="superscript"/>
              </w:rPr>
              <w:t>***^^^</w:t>
            </w:r>
          </w:p>
        </w:tc>
      </w:tr>
      <w:tr w:rsidR="00517C19" w:rsidRPr="00F009B6" w:rsidTr="006D4221">
        <w:tc>
          <w:tcPr>
            <w:tcW w:w="1184" w:type="pct"/>
            <w:tcBorders>
              <w:bottom w:val="single" w:sz="4" w:space="0" w:color="auto"/>
            </w:tcBorders>
            <w:tcMar>
              <w:top w:w="100" w:type="nil"/>
              <w:right w:w="100" w:type="nil"/>
            </w:tcMar>
            <w:vAlign w:val="center"/>
          </w:tcPr>
          <w:p w:rsidR="00517C19" w:rsidRPr="00713D18" w:rsidRDefault="00517C19" w:rsidP="006D4221">
            <w:pPr>
              <w:autoSpaceDE w:val="0"/>
              <w:autoSpaceDN w:val="0"/>
              <w:adjustRightInd w:val="0"/>
              <w:spacing w:after="0" w:line="240" w:lineRule="auto"/>
              <w:rPr>
                <w:rFonts w:ascii="Times New Roman" w:hAnsi="Times New Roman" w:cs="Times New Roman"/>
                <w:sz w:val="20"/>
                <w:szCs w:val="20"/>
              </w:rPr>
            </w:pPr>
            <w:r w:rsidRPr="00713D18">
              <w:rPr>
                <w:rFonts w:ascii="Times New Roman" w:hAnsi="Times New Roman" w:cs="Times New Roman"/>
                <w:sz w:val="20"/>
                <w:szCs w:val="20"/>
              </w:rPr>
              <w:t xml:space="preserve">          -Females</w:t>
            </w:r>
          </w:p>
        </w:tc>
        <w:tc>
          <w:tcPr>
            <w:tcW w:w="1183" w:type="pct"/>
            <w:tcBorders>
              <w:bottom w:val="single" w:sz="4" w:space="0" w:color="auto"/>
            </w:tcBorders>
            <w:tcMar>
              <w:top w:w="100" w:type="nil"/>
              <w:right w:w="100" w:type="nil"/>
            </w:tcMar>
            <w:vAlign w:val="center"/>
          </w:tcPr>
          <w:p w:rsidR="00517C19" w:rsidRPr="00713D18" w:rsidRDefault="00517C19" w:rsidP="006D4221">
            <w:pPr>
              <w:autoSpaceDE w:val="0"/>
              <w:autoSpaceDN w:val="0"/>
              <w:adjustRightInd w:val="0"/>
              <w:spacing w:after="0" w:line="240" w:lineRule="auto"/>
              <w:rPr>
                <w:rFonts w:ascii="Times New Roman" w:hAnsi="Times New Roman" w:cs="Times New Roman"/>
                <w:sz w:val="20"/>
                <w:szCs w:val="20"/>
              </w:rPr>
            </w:pPr>
            <w:r w:rsidRPr="00713D18">
              <w:rPr>
                <w:rFonts w:ascii="Times New Roman" w:hAnsi="Times New Roman" w:cs="Times New Roman"/>
                <w:sz w:val="20"/>
                <w:szCs w:val="20"/>
              </w:rPr>
              <w:t>-62% (-67,-57)</w:t>
            </w:r>
            <w:r w:rsidRPr="00713D18">
              <w:rPr>
                <w:rFonts w:ascii="Times New Roman" w:hAnsi="Times New Roman" w:cs="Times New Roman"/>
                <w:sz w:val="20"/>
                <w:szCs w:val="20"/>
                <w:vertAlign w:val="superscript"/>
              </w:rPr>
              <w:t xml:space="preserve"> ***</w:t>
            </w:r>
          </w:p>
        </w:tc>
        <w:tc>
          <w:tcPr>
            <w:tcW w:w="1308" w:type="pct"/>
            <w:tcBorders>
              <w:bottom w:val="single" w:sz="4" w:space="0" w:color="auto"/>
            </w:tcBorders>
            <w:tcMar>
              <w:top w:w="100" w:type="nil"/>
              <w:right w:w="100" w:type="nil"/>
            </w:tcMar>
          </w:tcPr>
          <w:p w:rsidR="00517C19" w:rsidRPr="00713D18" w:rsidRDefault="00517C19" w:rsidP="006D4221">
            <w:pPr>
              <w:autoSpaceDE w:val="0"/>
              <w:autoSpaceDN w:val="0"/>
              <w:adjustRightInd w:val="0"/>
              <w:spacing w:after="0" w:line="240" w:lineRule="auto"/>
              <w:rPr>
                <w:rFonts w:ascii="Times New Roman" w:hAnsi="Times New Roman" w:cs="Times New Roman"/>
                <w:sz w:val="20"/>
                <w:szCs w:val="20"/>
              </w:rPr>
            </w:pPr>
            <w:r w:rsidRPr="00CA67EF">
              <w:rPr>
                <w:rFonts w:ascii="Times New Roman" w:hAnsi="Times New Roman" w:cs="Times New Roman"/>
                <w:sz w:val="20"/>
                <w:szCs w:val="20"/>
              </w:rPr>
              <w:t>+</w:t>
            </w:r>
            <w:r w:rsidRPr="00713D18">
              <w:rPr>
                <w:rFonts w:ascii="Times New Roman" w:hAnsi="Times New Roman" w:cs="Times New Roman"/>
                <w:sz w:val="20"/>
                <w:szCs w:val="20"/>
              </w:rPr>
              <w:t>59% (52, 67)</w:t>
            </w:r>
            <w:r w:rsidRPr="00713D18">
              <w:rPr>
                <w:rFonts w:ascii="Times New Roman" w:hAnsi="Times New Roman" w:cs="Times New Roman"/>
                <w:sz w:val="20"/>
                <w:szCs w:val="20"/>
                <w:vertAlign w:val="superscript"/>
              </w:rPr>
              <w:t xml:space="preserve"> ***^^^</w:t>
            </w:r>
          </w:p>
        </w:tc>
        <w:tc>
          <w:tcPr>
            <w:tcW w:w="1325" w:type="pct"/>
            <w:tcBorders>
              <w:bottom w:val="single" w:sz="4" w:space="0" w:color="auto"/>
            </w:tcBorders>
            <w:tcMar>
              <w:top w:w="100" w:type="nil"/>
              <w:right w:w="100" w:type="nil"/>
            </w:tcMar>
          </w:tcPr>
          <w:p w:rsidR="00517C19" w:rsidRPr="00CA67EF" w:rsidRDefault="00517C19" w:rsidP="006D4221">
            <w:pPr>
              <w:autoSpaceDE w:val="0"/>
              <w:autoSpaceDN w:val="0"/>
              <w:adjustRightInd w:val="0"/>
              <w:spacing w:after="0" w:line="240" w:lineRule="auto"/>
              <w:rPr>
                <w:rFonts w:ascii="Times New Roman" w:hAnsi="Times New Roman" w:cs="Times New Roman"/>
                <w:sz w:val="20"/>
                <w:szCs w:val="20"/>
              </w:rPr>
            </w:pPr>
            <w:r w:rsidRPr="00713D18">
              <w:rPr>
                <w:rFonts w:ascii="Times New Roman" w:hAnsi="Times New Roman" w:cs="Times New Roman"/>
                <w:sz w:val="20"/>
                <w:szCs w:val="20"/>
              </w:rPr>
              <w:t>+56% (47, 65)</w:t>
            </w:r>
            <w:r w:rsidRPr="00713D18">
              <w:rPr>
                <w:rFonts w:ascii="Times New Roman" w:hAnsi="Times New Roman" w:cs="Times New Roman"/>
                <w:sz w:val="20"/>
                <w:szCs w:val="20"/>
                <w:vertAlign w:val="superscript"/>
              </w:rPr>
              <w:t>***^^^</w:t>
            </w:r>
          </w:p>
        </w:tc>
      </w:tr>
      <w:tr w:rsidR="00517C19" w:rsidRPr="00F009B6" w:rsidTr="006D4221">
        <w:tc>
          <w:tcPr>
            <w:tcW w:w="1184" w:type="pct"/>
            <w:tcBorders>
              <w:top w:val="single" w:sz="4" w:space="0" w:color="auto"/>
            </w:tcBorders>
            <w:tcMar>
              <w:top w:w="100" w:type="nil"/>
              <w:right w:w="100" w:type="nil"/>
            </w:tcMar>
            <w:vAlign w:val="center"/>
          </w:tcPr>
          <w:p w:rsidR="00517C19" w:rsidRPr="00CA67EF" w:rsidRDefault="00517C19" w:rsidP="006D4221">
            <w:pPr>
              <w:autoSpaceDE w:val="0"/>
              <w:autoSpaceDN w:val="0"/>
              <w:adjustRightInd w:val="0"/>
              <w:spacing w:after="0" w:line="240" w:lineRule="auto"/>
              <w:rPr>
                <w:rFonts w:ascii="Times New Roman" w:hAnsi="Times New Roman" w:cs="Times New Roman"/>
                <w:sz w:val="20"/>
                <w:szCs w:val="20"/>
              </w:rPr>
            </w:pPr>
            <w:r w:rsidRPr="00CA67EF">
              <w:rPr>
                <w:rFonts w:ascii="Times New Roman" w:hAnsi="Times New Roman" w:cs="Times New Roman"/>
                <w:sz w:val="20"/>
                <w:szCs w:val="20"/>
              </w:rPr>
              <w:t>Obesity as a secondary diagnosis</w:t>
            </w:r>
          </w:p>
        </w:tc>
        <w:tc>
          <w:tcPr>
            <w:tcW w:w="1183" w:type="pct"/>
            <w:tcBorders>
              <w:top w:val="single" w:sz="4" w:space="0" w:color="auto"/>
            </w:tcBorders>
            <w:tcMar>
              <w:top w:w="100" w:type="nil"/>
              <w:right w:w="100" w:type="nil"/>
            </w:tcMar>
            <w:vAlign w:val="center"/>
          </w:tcPr>
          <w:p w:rsidR="00517C19" w:rsidRPr="00CA67EF" w:rsidRDefault="00517C19" w:rsidP="006D4221">
            <w:pPr>
              <w:autoSpaceDE w:val="0"/>
              <w:autoSpaceDN w:val="0"/>
              <w:adjustRightInd w:val="0"/>
              <w:spacing w:after="0" w:line="240" w:lineRule="auto"/>
              <w:rPr>
                <w:rFonts w:ascii="Times New Roman" w:hAnsi="Times New Roman" w:cs="Times New Roman"/>
                <w:sz w:val="20"/>
                <w:szCs w:val="20"/>
              </w:rPr>
            </w:pPr>
            <w:r w:rsidRPr="00CA67EF">
              <w:rPr>
                <w:rFonts w:ascii="Times New Roman" w:hAnsi="Times New Roman" w:cs="Times New Roman"/>
                <w:sz w:val="20"/>
                <w:szCs w:val="20"/>
              </w:rPr>
              <w:t>+19% (17, 21)</w:t>
            </w:r>
            <w:r w:rsidRPr="00CA67EF">
              <w:rPr>
                <w:rFonts w:ascii="Times New Roman" w:hAnsi="Times New Roman" w:cs="Times New Roman"/>
                <w:sz w:val="20"/>
                <w:szCs w:val="20"/>
                <w:vertAlign w:val="superscript"/>
              </w:rPr>
              <w:t>***</w:t>
            </w:r>
          </w:p>
        </w:tc>
        <w:tc>
          <w:tcPr>
            <w:tcW w:w="1308" w:type="pct"/>
            <w:tcBorders>
              <w:top w:val="single" w:sz="4" w:space="0" w:color="auto"/>
            </w:tcBorders>
            <w:tcMar>
              <w:top w:w="100" w:type="nil"/>
              <w:right w:w="100" w:type="nil"/>
            </w:tcMar>
          </w:tcPr>
          <w:p w:rsidR="00517C19" w:rsidRPr="00CA67EF" w:rsidRDefault="00517C19" w:rsidP="006D4221">
            <w:pPr>
              <w:autoSpaceDE w:val="0"/>
              <w:autoSpaceDN w:val="0"/>
              <w:adjustRightInd w:val="0"/>
              <w:spacing w:after="0" w:line="240" w:lineRule="auto"/>
              <w:rPr>
                <w:rFonts w:ascii="Times New Roman" w:hAnsi="Times New Roman" w:cs="Times New Roman"/>
                <w:sz w:val="20"/>
                <w:szCs w:val="20"/>
              </w:rPr>
            </w:pPr>
            <w:r w:rsidRPr="00CA67EF">
              <w:rPr>
                <w:rFonts w:ascii="Times New Roman" w:hAnsi="Times New Roman" w:cs="Times New Roman"/>
                <w:sz w:val="20"/>
                <w:szCs w:val="20"/>
              </w:rPr>
              <w:t>+11% (9, 13)</w:t>
            </w:r>
            <w:r w:rsidRPr="00CA67EF">
              <w:rPr>
                <w:rFonts w:ascii="Times New Roman" w:hAnsi="Times New Roman" w:cs="Times New Roman"/>
                <w:sz w:val="20"/>
                <w:szCs w:val="20"/>
                <w:vertAlign w:val="superscript"/>
              </w:rPr>
              <w:t>***</w:t>
            </w:r>
          </w:p>
        </w:tc>
        <w:tc>
          <w:tcPr>
            <w:tcW w:w="1325" w:type="pct"/>
            <w:tcBorders>
              <w:top w:val="single" w:sz="4" w:space="0" w:color="auto"/>
            </w:tcBorders>
            <w:tcMar>
              <w:top w:w="100" w:type="nil"/>
              <w:right w:w="100" w:type="nil"/>
            </w:tcMar>
          </w:tcPr>
          <w:p w:rsidR="00517C19" w:rsidRPr="00CA67EF" w:rsidRDefault="00517C19" w:rsidP="006D4221">
            <w:pPr>
              <w:autoSpaceDE w:val="0"/>
              <w:autoSpaceDN w:val="0"/>
              <w:adjustRightInd w:val="0"/>
              <w:spacing w:after="0" w:line="240" w:lineRule="auto"/>
              <w:rPr>
                <w:rFonts w:ascii="Times New Roman" w:hAnsi="Times New Roman" w:cs="Times New Roman"/>
                <w:sz w:val="20"/>
                <w:szCs w:val="20"/>
              </w:rPr>
            </w:pPr>
            <w:r w:rsidRPr="00CA67EF">
              <w:rPr>
                <w:rFonts w:ascii="Times New Roman" w:hAnsi="Times New Roman" w:cs="Times New Roman"/>
                <w:sz w:val="20"/>
                <w:szCs w:val="20"/>
              </w:rPr>
              <w:t>+14% (12,16)</w:t>
            </w:r>
            <w:r w:rsidRPr="00CA67EF">
              <w:rPr>
                <w:rFonts w:ascii="Times New Roman" w:hAnsi="Times New Roman" w:cs="Times New Roman"/>
                <w:sz w:val="20"/>
                <w:szCs w:val="20"/>
                <w:vertAlign w:val="superscript"/>
              </w:rPr>
              <w:t>***</w:t>
            </w:r>
          </w:p>
        </w:tc>
      </w:tr>
      <w:tr w:rsidR="00517C19" w:rsidRPr="00F009B6" w:rsidTr="006D4221">
        <w:tc>
          <w:tcPr>
            <w:tcW w:w="1184" w:type="pct"/>
            <w:tcMar>
              <w:top w:w="100" w:type="nil"/>
              <w:right w:w="100" w:type="nil"/>
            </w:tcMar>
            <w:vAlign w:val="center"/>
          </w:tcPr>
          <w:p w:rsidR="00517C19" w:rsidRPr="00713D18" w:rsidRDefault="00517C19" w:rsidP="006D4221">
            <w:pPr>
              <w:autoSpaceDE w:val="0"/>
              <w:autoSpaceDN w:val="0"/>
              <w:adjustRightInd w:val="0"/>
              <w:spacing w:after="0" w:line="240" w:lineRule="auto"/>
              <w:rPr>
                <w:rFonts w:ascii="Times New Roman" w:hAnsi="Times New Roman" w:cs="Times New Roman"/>
                <w:sz w:val="20"/>
                <w:szCs w:val="20"/>
              </w:rPr>
            </w:pPr>
            <w:r w:rsidRPr="00713D18">
              <w:rPr>
                <w:rFonts w:ascii="Times New Roman" w:hAnsi="Times New Roman" w:cs="Times New Roman"/>
                <w:sz w:val="20"/>
                <w:szCs w:val="20"/>
              </w:rPr>
              <w:t xml:space="preserve">    - By sex</w:t>
            </w:r>
          </w:p>
        </w:tc>
        <w:tc>
          <w:tcPr>
            <w:tcW w:w="1183" w:type="pct"/>
            <w:tcMar>
              <w:top w:w="100" w:type="nil"/>
              <w:right w:w="100" w:type="nil"/>
            </w:tcMar>
            <w:vAlign w:val="center"/>
          </w:tcPr>
          <w:p w:rsidR="00517C19" w:rsidRPr="00713D18" w:rsidRDefault="00517C19" w:rsidP="006D4221">
            <w:pPr>
              <w:autoSpaceDE w:val="0"/>
              <w:autoSpaceDN w:val="0"/>
              <w:adjustRightInd w:val="0"/>
              <w:spacing w:after="0" w:line="240" w:lineRule="auto"/>
              <w:rPr>
                <w:rFonts w:ascii="Times New Roman" w:hAnsi="Times New Roman" w:cs="Times New Roman"/>
                <w:sz w:val="20"/>
                <w:szCs w:val="20"/>
              </w:rPr>
            </w:pPr>
          </w:p>
        </w:tc>
        <w:tc>
          <w:tcPr>
            <w:tcW w:w="1308" w:type="pct"/>
            <w:tcMar>
              <w:top w:w="100" w:type="nil"/>
              <w:right w:w="100" w:type="nil"/>
            </w:tcMar>
          </w:tcPr>
          <w:p w:rsidR="00517C19" w:rsidRPr="00713D18" w:rsidRDefault="00517C19" w:rsidP="006D4221">
            <w:pPr>
              <w:autoSpaceDE w:val="0"/>
              <w:autoSpaceDN w:val="0"/>
              <w:adjustRightInd w:val="0"/>
              <w:spacing w:after="0" w:line="240" w:lineRule="auto"/>
              <w:rPr>
                <w:rFonts w:ascii="Times New Roman" w:hAnsi="Times New Roman" w:cs="Times New Roman"/>
                <w:sz w:val="20"/>
                <w:szCs w:val="20"/>
              </w:rPr>
            </w:pPr>
          </w:p>
        </w:tc>
        <w:tc>
          <w:tcPr>
            <w:tcW w:w="1325" w:type="pct"/>
            <w:tcMar>
              <w:top w:w="100" w:type="nil"/>
              <w:right w:w="100" w:type="nil"/>
            </w:tcMar>
          </w:tcPr>
          <w:p w:rsidR="00517C19" w:rsidRPr="00CA67EF" w:rsidRDefault="00517C19" w:rsidP="006D4221">
            <w:pPr>
              <w:autoSpaceDE w:val="0"/>
              <w:autoSpaceDN w:val="0"/>
              <w:adjustRightInd w:val="0"/>
              <w:spacing w:after="0" w:line="240" w:lineRule="auto"/>
              <w:rPr>
                <w:rFonts w:ascii="Times New Roman" w:hAnsi="Times New Roman" w:cs="Times New Roman"/>
                <w:sz w:val="20"/>
                <w:szCs w:val="20"/>
              </w:rPr>
            </w:pPr>
          </w:p>
        </w:tc>
      </w:tr>
      <w:tr w:rsidR="00517C19" w:rsidRPr="00F009B6" w:rsidTr="006D4221">
        <w:tc>
          <w:tcPr>
            <w:tcW w:w="1184" w:type="pct"/>
            <w:tcMar>
              <w:top w:w="100" w:type="nil"/>
              <w:right w:w="100" w:type="nil"/>
            </w:tcMar>
            <w:vAlign w:val="center"/>
          </w:tcPr>
          <w:p w:rsidR="00517C19" w:rsidRPr="00713D18" w:rsidRDefault="00517C19" w:rsidP="006D4221">
            <w:pPr>
              <w:autoSpaceDE w:val="0"/>
              <w:autoSpaceDN w:val="0"/>
              <w:adjustRightInd w:val="0"/>
              <w:spacing w:after="0" w:line="240" w:lineRule="auto"/>
              <w:rPr>
                <w:rFonts w:ascii="Times New Roman" w:hAnsi="Times New Roman" w:cs="Times New Roman"/>
                <w:sz w:val="20"/>
                <w:szCs w:val="20"/>
              </w:rPr>
            </w:pPr>
            <w:r w:rsidRPr="00713D18">
              <w:rPr>
                <w:rFonts w:ascii="Times New Roman" w:hAnsi="Times New Roman" w:cs="Times New Roman"/>
                <w:sz w:val="20"/>
                <w:szCs w:val="20"/>
              </w:rPr>
              <w:t xml:space="preserve">          -Males</w:t>
            </w:r>
          </w:p>
        </w:tc>
        <w:tc>
          <w:tcPr>
            <w:tcW w:w="1183" w:type="pct"/>
            <w:tcMar>
              <w:top w:w="100" w:type="nil"/>
              <w:right w:w="100" w:type="nil"/>
            </w:tcMar>
            <w:vAlign w:val="center"/>
          </w:tcPr>
          <w:p w:rsidR="00517C19" w:rsidRPr="00713D18" w:rsidRDefault="00517C19" w:rsidP="006D4221">
            <w:pPr>
              <w:autoSpaceDE w:val="0"/>
              <w:autoSpaceDN w:val="0"/>
              <w:adjustRightInd w:val="0"/>
              <w:spacing w:after="0" w:line="240" w:lineRule="auto"/>
              <w:rPr>
                <w:rFonts w:ascii="Times New Roman" w:hAnsi="Times New Roman" w:cs="Times New Roman"/>
                <w:sz w:val="20"/>
                <w:szCs w:val="20"/>
              </w:rPr>
            </w:pPr>
            <w:r w:rsidRPr="00713D18">
              <w:rPr>
                <w:rFonts w:ascii="Times New Roman" w:hAnsi="Times New Roman" w:cs="Times New Roman"/>
                <w:sz w:val="20"/>
                <w:szCs w:val="20"/>
              </w:rPr>
              <w:t>+19% (17,23)</w:t>
            </w:r>
            <w:r w:rsidRPr="00713D18">
              <w:rPr>
                <w:rFonts w:ascii="Times New Roman" w:hAnsi="Times New Roman" w:cs="Times New Roman"/>
                <w:sz w:val="20"/>
                <w:szCs w:val="20"/>
                <w:vertAlign w:val="superscript"/>
              </w:rPr>
              <w:t xml:space="preserve"> ***</w:t>
            </w:r>
          </w:p>
        </w:tc>
        <w:tc>
          <w:tcPr>
            <w:tcW w:w="1308" w:type="pct"/>
            <w:tcMar>
              <w:top w:w="100" w:type="nil"/>
              <w:right w:w="100" w:type="nil"/>
            </w:tcMar>
          </w:tcPr>
          <w:p w:rsidR="00517C19" w:rsidRPr="00713D18" w:rsidRDefault="00517C19" w:rsidP="006D4221">
            <w:pPr>
              <w:autoSpaceDE w:val="0"/>
              <w:autoSpaceDN w:val="0"/>
              <w:adjustRightInd w:val="0"/>
              <w:spacing w:after="0" w:line="240" w:lineRule="auto"/>
              <w:rPr>
                <w:rFonts w:ascii="Times New Roman" w:hAnsi="Times New Roman" w:cs="Times New Roman"/>
                <w:sz w:val="20"/>
                <w:szCs w:val="20"/>
              </w:rPr>
            </w:pPr>
            <w:r w:rsidRPr="00CA67EF">
              <w:rPr>
                <w:rFonts w:ascii="Times New Roman" w:hAnsi="Times New Roman" w:cs="Times New Roman"/>
                <w:sz w:val="20"/>
                <w:szCs w:val="20"/>
              </w:rPr>
              <w:t>+</w:t>
            </w:r>
            <w:r w:rsidRPr="00713D18">
              <w:rPr>
                <w:rFonts w:ascii="Times New Roman" w:hAnsi="Times New Roman" w:cs="Times New Roman"/>
                <w:sz w:val="20"/>
                <w:szCs w:val="20"/>
              </w:rPr>
              <w:t>14%  (11, 17)</w:t>
            </w:r>
            <w:r w:rsidRPr="00CA67EF">
              <w:rPr>
                <w:rFonts w:ascii="Times New Roman" w:hAnsi="Times New Roman" w:cs="Times New Roman"/>
                <w:sz w:val="20"/>
                <w:szCs w:val="20"/>
                <w:vertAlign w:val="superscript"/>
              </w:rPr>
              <w:t xml:space="preserve"> ***^^</w:t>
            </w:r>
          </w:p>
        </w:tc>
        <w:tc>
          <w:tcPr>
            <w:tcW w:w="1325" w:type="pct"/>
            <w:tcMar>
              <w:top w:w="100" w:type="nil"/>
              <w:right w:w="100" w:type="nil"/>
            </w:tcMar>
          </w:tcPr>
          <w:p w:rsidR="00517C19" w:rsidRPr="00CA67EF" w:rsidRDefault="00517C19" w:rsidP="006D4221">
            <w:pPr>
              <w:autoSpaceDE w:val="0"/>
              <w:autoSpaceDN w:val="0"/>
              <w:adjustRightInd w:val="0"/>
              <w:spacing w:after="0" w:line="240" w:lineRule="auto"/>
              <w:rPr>
                <w:rFonts w:ascii="Times New Roman" w:hAnsi="Times New Roman" w:cs="Times New Roman"/>
                <w:sz w:val="20"/>
                <w:szCs w:val="20"/>
              </w:rPr>
            </w:pPr>
            <w:r w:rsidRPr="00713D18">
              <w:rPr>
                <w:rFonts w:ascii="Times New Roman" w:hAnsi="Times New Roman" w:cs="Times New Roman"/>
                <w:sz w:val="20"/>
                <w:szCs w:val="20"/>
              </w:rPr>
              <w:t>+18% (15, 21)</w:t>
            </w:r>
            <w:r w:rsidRPr="00713D18">
              <w:rPr>
                <w:rFonts w:ascii="Times New Roman" w:hAnsi="Times New Roman" w:cs="Times New Roman"/>
                <w:sz w:val="20"/>
                <w:szCs w:val="20"/>
                <w:vertAlign w:val="superscript"/>
              </w:rPr>
              <w:t xml:space="preserve"> ***^^^</w:t>
            </w:r>
          </w:p>
        </w:tc>
      </w:tr>
      <w:tr w:rsidR="00517C19" w:rsidRPr="00F009B6" w:rsidTr="006D4221">
        <w:tc>
          <w:tcPr>
            <w:tcW w:w="1184" w:type="pct"/>
            <w:tcMar>
              <w:top w:w="100" w:type="nil"/>
              <w:right w:w="100" w:type="nil"/>
            </w:tcMar>
            <w:vAlign w:val="center"/>
          </w:tcPr>
          <w:p w:rsidR="00517C19" w:rsidRPr="00713D18" w:rsidRDefault="00517C19" w:rsidP="006D4221">
            <w:pPr>
              <w:autoSpaceDE w:val="0"/>
              <w:autoSpaceDN w:val="0"/>
              <w:adjustRightInd w:val="0"/>
              <w:spacing w:after="0" w:line="240" w:lineRule="auto"/>
              <w:rPr>
                <w:rFonts w:ascii="Times New Roman" w:hAnsi="Times New Roman" w:cs="Times New Roman"/>
                <w:sz w:val="20"/>
                <w:szCs w:val="20"/>
              </w:rPr>
            </w:pPr>
            <w:r w:rsidRPr="00713D18">
              <w:rPr>
                <w:rFonts w:ascii="Times New Roman" w:hAnsi="Times New Roman" w:cs="Times New Roman"/>
                <w:sz w:val="20"/>
                <w:szCs w:val="20"/>
              </w:rPr>
              <w:t xml:space="preserve">          -Females</w:t>
            </w:r>
          </w:p>
        </w:tc>
        <w:tc>
          <w:tcPr>
            <w:tcW w:w="1183" w:type="pct"/>
            <w:tcMar>
              <w:top w:w="100" w:type="nil"/>
              <w:right w:w="100" w:type="nil"/>
            </w:tcMar>
            <w:vAlign w:val="center"/>
          </w:tcPr>
          <w:p w:rsidR="00517C19" w:rsidRPr="00713D18" w:rsidRDefault="00517C19" w:rsidP="006D4221">
            <w:pPr>
              <w:autoSpaceDE w:val="0"/>
              <w:autoSpaceDN w:val="0"/>
              <w:adjustRightInd w:val="0"/>
              <w:spacing w:after="0" w:line="240" w:lineRule="auto"/>
              <w:rPr>
                <w:rFonts w:ascii="Times New Roman" w:hAnsi="Times New Roman" w:cs="Times New Roman"/>
                <w:sz w:val="20"/>
                <w:szCs w:val="20"/>
              </w:rPr>
            </w:pPr>
            <w:r w:rsidRPr="00713D18">
              <w:rPr>
                <w:rFonts w:ascii="Times New Roman" w:hAnsi="Times New Roman" w:cs="Times New Roman"/>
                <w:sz w:val="20"/>
                <w:szCs w:val="20"/>
              </w:rPr>
              <w:t>+19% (17,21)</w:t>
            </w:r>
            <w:r w:rsidRPr="00713D18">
              <w:rPr>
                <w:rFonts w:ascii="Times New Roman" w:hAnsi="Times New Roman" w:cs="Times New Roman"/>
                <w:sz w:val="20"/>
                <w:szCs w:val="20"/>
                <w:vertAlign w:val="superscript"/>
              </w:rPr>
              <w:t xml:space="preserve"> ***</w:t>
            </w:r>
          </w:p>
        </w:tc>
        <w:tc>
          <w:tcPr>
            <w:tcW w:w="1308" w:type="pct"/>
            <w:tcMar>
              <w:top w:w="100" w:type="nil"/>
              <w:right w:w="100" w:type="nil"/>
            </w:tcMar>
          </w:tcPr>
          <w:p w:rsidR="00517C19" w:rsidRPr="00713D18" w:rsidRDefault="00517C19" w:rsidP="006D4221">
            <w:pPr>
              <w:autoSpaceDE w:val="0"/>
              <w:autoSpaceDN w:val="0"/>
              <w:adjustRightInd w:val="0"/>
              <w:spacing w:after="0" w:line="240" w:lineRule="auto"/>
              <w:rPr>
                <w:rFonts w:ascii="Times New Roman" w:hAnsi="Times New Roman" w:cs="Times New Roman"/>
                <w:sz w:val="20"/>
                <w:szCs w:val="20"/>
              </w:rPr>
            </w:pPr>
            <w:r w:rsidRPr="00CA67EF">
              <w:rPr>
                <w:rFonts w:ascii="Times New Roman" w:hAnsi="Times New Roman" w:cs="Times New Roman"/>
                <w:sz w:val="20"/>
                <w:szCs w:val="20"/>
              </w:rPr>
              <w:t>+</w:t>
            </w:r>
            <w:r w:rsidRPr="00713D18">
              <w:rPr>
                <w:rFonts w:ascii="Times New Roman" w:hAnsi="Times New Roman" w:cs="Times New Roman"/>
                <w:sz w:val="20"/>
                <w:szCs w:val="20"/>
              </w:rPr>
              <w:t>9% (7, 11)</w:t>
            </w:r>
            <w:r w:rsidRPr="00CA67EF">
              <w:rPr>
                <w:rFonts w:ascii="Times New Roman" w:hAnsi="Times New Roman" w:cs="Times New Roman"/>
                <w:sz w:val="20"/>
                <w:szCs w:val="20"/>
                <w:vertAlign w:val="superscript"/>
              </w:rPr>
              <w:t xml:space="preserve"> ***^^</w:t>
            </w:r>
          </w:p>
        </w:tc>
        <w:tc>
          <w:tcPr>
            <w:tcW w:w="1325" w:type="pct"/>
            <w:tcMar>
              <w:top w:w="100" w:type="nil"/>
              <w:right w:w="100" w:type="nil"/>
            </w:tcMar>
          </w:tcPr>
          <w:p w:rsidR="00517C19" w:rsidRPr="00CA67EF" w:rsidRDefault="00517C19" w:rsidP="006D4221">
            <w:pPr>
              <w:autoSpaceDE w:val="0"/>
              <w:autoSpaceDN w:val="0"/>
              <w:adjustRightInd w:val="0"/>
              <w:spacing w:after="0" w:line="240" w:lineRule="auto"/>
              <w:rPr>
                <w:rFonts w:ascii="Times New Roman" w:hAnsi="Times New Roman" w:cs="Times New Roman"/>
                <w:sz w:val="20"/>
                <w:szCs w:val="20"/>
              </w:rPr>
            </w:pPr>
            <w:r w:rsidRPr="00713D18">
              <w:rPr>
                <w:rFonts w:ascii="Times New Roman" w:hAnsi="Times New Roman" w:cs="Times New Roman"/>
                <w:sz w:val="20"/>
                <w:szCs w:val="20"/>
              </w:rPr>
              <w:t>+12% (10, 14)</w:t>
            </w:r>
            <w:r w:rsidRPr="00713D18">
              <w:rPr>
                <w:rFonts w:ascii="Times New Roman" w:hAnsi="Times New Roman" w:cs="Times New Roman"/>
                <w:sz w:val="20"/>
                <w:szCs w:val="20"/>
                <w:vertAlign w:val="superscript"/>
              </w:rPr>
              <w:t xml:space="preserve"> ***^^^</w:t>
            </w:r>
          </w:p>
        </w:tc>
      </w:tr>
      <w:tr w:rsidR="00517C19" w:rsidRPr="00F009B6" w:rsidTr="006D4221">
        <w:tc>
          <w:tcPr>
            <w:tcW w:w="1184" w:type="pct"/>
            <w:tcMar>
              <w:top w:w="100" w:type="nil"/>
              <w:right w:w="100" w:type="nil"/>
            </w:tcMar>
            <w:vAlign w:val="center"/>
          </w:tcPr>
          <w:p w:rsidR="00517C19" w:rsidRPr="00F009B6"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 xml:space="preserve">   - By primary condition</w:t>
            </w:r>
          </w:p>
        </w:tc>
        <w:tc>
          <w:tcPr>
            <w:tcW w:w="1183" w:type="pct"/>
            <w:tcMar>
              <w:top w:w="100" w:type="nil"/>
              <w:right w:w="100" w:type="nil"/>
            </w:tcMar>
            <w:vAlign w:val="center"/>
          </w:tcPr>
          <w:p w:rsidR="00517C19" w:rsidRPr="00F009B6" w:rsidRDefault="00517C19" w:rsidP="006D4221">
            <w:pPr>
              <w:autoSpaceDE w:val="0"/>
              <w:autoSpaceDN w:val="0"/>
              <w:adjustRightInd w:val="0"/>
              <w:spacing w:after="0" w:line="240" w:lineRule="auto"/>
              <w:rPr>
                <w:rFonts w:ascii="Times New Roman" w:hAnsi="Times New Roman" w:cs="Times New Roman"/>
                <w:sz w:val="20"/>
                <w:szCs w:val="20"/>
              </w:rPr>
            </w:pPr>
          </w:p>
        </w:tc>
        <w:tc>
          <w:tcPr>
            <w:tcW w:w="1308" w:type="pct"/>
            <w:tcMar>
              <w:top w:w="100" w:type="nil"/>
              <w:right w:w="100" w:type="nil"/>
            </w:tcMar>
          </w:tcPr>
          <w:p w:rsidR="00517C19" w:rsidRPr="00F009B6" w:rsidRDefault="00517C19" w:rsidP="006D4221">
            <w:pPr>
              <w:autoSpaceDE w:val="0"/>
              <w:autoSpaceDN w:val="0"/>
              <w:adjustRightInd w:val="0"/>
              <w:spacing w:after="0" w:line="240" w:lineRule="auto"/>
              <w:rPr>
                <w:rFonts w:ascii="Times New Roman" w:hAnsi="Times New Roman" w:cs="Times New Roman"/>
                <w:sz w:val="20"/>
                <w:szCs w:val="20"/>
              </w:rPr>
            </w:pPr>
          </w:p>
        </w:tc>
        <w:tc>
          <w:tcPr>
            <w:tcW w:w="1325" w:type="pct"/>
            <w:tcMar>
              <w:top w:w="100" w:type="nil"/>
              <w:right w:w="100" w:type="nil"/>
            </w:tcMar>
          </w:tcPr>
          <w:p w:rsidR="00517C19" w:rsidRPr="00F009B6" w:rsidRDefault="00517C19" w:rsidP="006D4221">
            <w:pPr>
              <w:autoSpaceDE w:val="0"/>
              <w:autoSpaceDN w:val="0"/>
              <w:adjustRightInd w:val="0"/>
              <w:spacing w:after="0" w:line="240" w:lineRule="auto"/>
              <w:rPr>
                <w:rFonts w:ascii="Times New Roman" w:hAnsi="Times New Roman" w:cs="Times New Roman"/>
                <w:sz w:val="20"/>
                <w:szCs w:val="20"/>
              </w:rPr>
            </w:pPr>
          </w:p>
        </w:tc>
      </w:tr>
      <w:tr w:rsidR="00517C19" w:rsidRPr="00F009B6" w:rsidTr="006D4221">
        <w:tc>
          <w:tcPr>
            <w:tcW w:w="1184" w:type="pct"/>
            <w:tcMar>
              <w:top w:w="100" w:type="nil"/>
              <w:right w:w="100" w:type="nil"/>
            </w:tcMar>
          </w:tcPr>
          <w:p w:rsidR="00517C19" w:rsidRPr="00F009B6"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 xml:space="preserve">       -Pregnancy-related conditions </w:t>
            </w:r>
          </w:p>
        </w:tc>
        <w:tc>
          <w:tcPr>
            <w:tcW w:w="1183" w:type="pct"/>
            <w:tcMar>
              <w:top w:w="100" w:type="nil"/>
              <w:right w:w="100" w:type="nil"/>
            </w:tcMar>
          </w:tcPr>
          <w:p w:rsidR="00517C19" w:rsidRPr="00F009B6"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w:t>
            </w:r>
            <w:r>
              <w:rPr>
                <w:rFonts w:ascii="Times New Roman" w:hAnsi="Times New Roman" w:cs="Times New Roman"/>
                <w:sz w:val="20"/>
                <w:szCs w:val="20"/>
              </w:rPr>
              <w:t>17</w:t>
            </w:r>
            <w:r>
              <w:rPr>
                <w:rFonts w:ascii="Times New Roman" w:hAnsi="Times New Roman" w:cs="Times New Roman"/>
                <w:color w:val="808080" w:themeColor="background1" w:themeShade="80"/>
                <w:sz w:val="20"/>
                <w:szCs w:val="20"/>
              </w:rPr>
              <w:t>%</w:t>
            </w:r>
            <w:r w:rsidRPr="00F009B6">
              <w:rPr>
                <w:rFonts w:ascii="Times New Roman" w:hAnsi="Times New Roman" w:cs="Times New Roman"/>
                <w:sz w:val="20"/>
                <w:szCs w:val="20"/>
              </w:rPr>
              <w:t xml:space="preserve"> (</w:t>
            </w:r>
            <w:r>
              <w:rPr>
                <w:rFonts w:ascii="Times New Roman" w:hAnsi="Times New Roman" w:cs="Times New Roman"/>
                <w:sz w:val="20"/>
                <w:szCs w:val="20"/>
              </w:rPr>
              <w:t>15,18</w:t>
            </w:r>
            <w:r w:rsidRPr="00F009B6">
              <w:rPr>
                <w:rFonts w:ascii="Times New Roman" w:hAnsi="Times New Roman" w:cs="Times New Roman"/>
                <w:sz w:val="20"/>
                <w:szCs w:val="20"/>
              </w:rPr>
              <w:t>)</w:t>
            </w:r>
            <w:r w:rsidRPr="00F009B6">
              <w:rPr>
                <w:rFonts w:ascii="Times New Roman" w:hAnsi="Times New Roman" w:cs="Times New Roman"/>
                <w:sz w:val="20"/>
                <w:szCs w:val="20"/>
                <w:vertAlign w:val="superscript"/>
              </w:rPr>
              <w:t>***</w:t>
            </w:r>
          </w:p>
        </w:tc>
        <w:tc>
          <w:tcPr>
            <w:tcW w:w="1308" w:type="pct"/>
            <w:tcMar>
              <w:top w:w="100" w:type="nil"/>
              <w:right w:w="100" w:type="nil"/>
            </w:tcMar>
          </w:tcPr>
          <w:p w:rsidR="00517C19" w:rsidRPr="00F009B6"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w:t>
            </w:r>
            <w:r>
              <w:rPr>
                <w:rFonts w:ascii="Times New Roman" w:hAnsi="Times New Roman" w:cs="Times New Roman"/>
                <w:sz w:val="20"/>
                <w:szCs w:val="20"/>
              </w:rPr>
              <w:t>17</w:t>
            </w:r>
            <w:r>
              <w:rPr>
                <w:rFonts w:ascii="Times New Roman" w:hAnsi="Times New Roman" w:cs="Times New Roman"/>
                <w:color w:val="808080" w:themeColor="background1" w:themeShade="80"/>
                <w:sz w:val="20"/>
                <w:szCs w:val="20"/>
              </w:rPr>
              <w:t>%</w:t>
            </w:r>
            <w:r w:rsidRPr="00F009B6">
              <w:rPr>
                <w:rFonts w:ascii="Times New Roman" w:hAnsi="Times New Roman" w:cs="Times New Roman"/>
                <w:sz w:val="20"/>
                <w:szCs w:val="20"/>
              </w:rPr>
              <w:t xml:space="preserve"> (</w:t>
            </w:r>
            <w:r>
              <w:rPr>
                <w:rFonts w:ascii="Times New Roman" w:hAnsi="Times New Roman" w:cs="Times New Roman"/>
                <w:sz w:val="20"/>
                <w:szCs w:val="20"/>
              </w:rPr>
              <w:t>14,19</w:t>
            </w:r>
            <w:r w:rsidRPr="00F009B6">
              <w:rPr>
                <w:rFonts w:ascii="Times New Roman" w:hAnsi="Times New Roman" w:cs="Times New Roman"/>
                <w:sz w:val="20"/>
                <w:szCs w:val="20"/>
              </w:rPr>
              <w:t>)</w:t>
            </w:r>
            <w:r w:rsidRPr="00F009B6">
              <w:rPr>
                <w:rFonts w:ascii="Times New Roman" w:hAnsi="Times New Roman" w:cs="Times New Roman"/>
                <w:sz w:val="20"/>
                <w:szCs w:val="20"/>
                <w:vertAlign w:val="superscript"/>
              </w:rPr>
              <w:t>***</w:t>
            </w:r>
          </w:p>
        </w:tc>
        <w:tc>
          <w:tcPr>
            <w:tcW w:w="1325" w:type="pct"/>
            <w:tcMar>
              <w:top w:w="100" w:type="nil"/>
              <w:right w:w="100" w:type="nil"/>
            </w:tcMar>
          </w:tcPr>
          <w:p w:rsidR="00517C19" w:rsidRPr="00F009B6"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w:t>
            </w:r>
            <w:r>
              <w:rPr>
                <w:rFonts w:ascii="Times New Roman" w:hAnsi="Times New Roman" w:cs="Times New Roman"/>
                <w:sz w:val="20"/>
                <w:szCs w:val="20"/>
              </w:rPr>
              <w:t>21</w:t>
            </w:r>
            <w:r>
              <w:rPr>
                <w:rFonts w:ascii="Times New Roman" w:hAnsi="Times New Roman" w:cs="Times New Roman"/>
                <w:color w:val="808080" w:themeColor="background1" w:themeShade="80"/>
                <w:sz w:val="20"/>
                <w:szCs w:val="20"/>
              </w:rPr>
              <w:t>%</w:t>
            </w:r>
            <w:r w:rsidRPr="00F009B6">
              <w:rPr>
                <w:rFonts w:ascii="Times New Roman" w:hAnsi="Times New Roman" w:cs="Times New Roman"/>
                <w:sz w:val="20"/>
                <w:szCs w:val="20"/>
              </w:rPr>
              <w:t xml:space="preserve">  (</w:t>
            </w:r>
            <w:r>
              <w:rPr>
                <w:rFonts w:ascii="Times New Roman" w:hAnsi="Times New Roman" w:cs="Times New Roman"/>
                <w:sz w:val="20"/>
                <w:szCs w:val="20"/>
              </w:rPr>
              <w:t>19,23</w:t>
            </w:r>
            <w:r w:rsidRPr="00F009B6">
              <w:rPr>
                <w:rFonts w:ascii="Times New Roman" w:hAnsi="Times New Roman" w:cs="Times New Roman"/>
                <w:sz w:val="20"/>
                <w:szCs w:val="20"/>
              </w:rPr>
              <w:t>)</w:t>
            </w:r>
            <w:r w:rsidRPr="00F009B6">
              <w:rPr>
                <w:rFonts w:ascii="Times New Roman" w:hAnsi="Times New Roman" w:cs="Times New Roman"/>
                <w:sz w:val="20"/>
                <w:szCs w:val="20"/>
                <w:vertAlign w:val="superscript"/>
              </w:rPr>
              <w:t>***</w:t>
            </w:r>
          </w:p>
        </w:tc>
      </w:tr>
      <w:tr w:rsidR="00517C19" w:rsidRPr="00F009B6" w:rsidTr="006D4221">
        <w:tc>
          <w:tcPr>
            <w:tcW w:w="1184" w:type="pct"/>
            <w:tcMar>
              <w:top w:w="100" w:type="nil"/>
              <w:right w:w="100" w:type="nil"/>
            </w:tcMar>
          </w:tcPr>
          <w:p w:rsidR="00517C19" w:rsidRPr="00F009B6"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 xml:space="preserve">       -MHSA: Mood disorders </w:t>
            </w:r>
          </w:p>
        </w:tc>
        <w:tc>
          <w:tcPr>
            <w:tcW w:w="1183" w:type="pct"/>
            <w:tcMar>
              <w:top w:w="100" w:type="nil"/>
              <w:right w:w="100" w:type="nil"/>
            </w:tcMar>
          </w:tcPr>
          <w:p w:rsidR="00517C19" w:rsidRPr="00F009B6"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w:t>
            </w:r>
            <w:r>
              <w:rPr>
                <w:rFonts w:ascii="Times New Roman" w:hAnsi="Times New Roman" w:cs="Times New Roman"/>
                <w:sz w:val="20"/>
                <w:szCs w:val="20"/>
              </w:rPr>
              <w:t>8</w:t>
            </w:r>
            <w:r>
              <w:rPr>
                <w:rFonts w:ascii="Times New Roman" w:hAnsi="Times New Roman" w:cs="Times New Roman"/>
                <w:color w:val="808080" w:themeColor="background1" w:themeShade="80"/>
                <w:sz w:val="20"/>
                <w:szCs w:val="20"/>
              </w:rPr>
              <w:t>%</w:t>
            </w:r>
            <w:r>
              <w:rPr>
                <w:rFonts w:ascii="Times New Roman" w:hAnsi="Times New Roman" w:cs="Times New Roman"/>
                <w:sz w:val="20"/>
                <w:szCs w:val="20"/>
              </w:rPr>
              <w:t xml:space="preserve"> </w:t>
            </w:r>
            <w:r w:rsidRPr="00F009B6">
              <w:rPr>
                <w:rFonts w:ascii="Times New Roman" w:hAnsi="Times New Roman" w:cs="Times New Roman"/>
                <w:sz w:val="20"/>
                <w:szCs w:val="20"/>
              </w:rPr>
              <w:t>(</w:t>
            </w:r>
            <w:r>
              <w:rPr>
                <w:rFonts w:ascii="Times New Roman" w:hAnsi="Times New Roman" w:cs="Times New Roman"/>
                <w:sz w:val="20"/>
                <w:szCs w:val="20"/>
              </w:rPr>
              <w:t>5,11</w:t>
            </w:r>
            <w:r w:rsidRPr="00F009B6">
              <w:rPr>
                <w:rFonts w:ascii="Times New Roman" w:hAnsi="Times New Roman" w:cs="Times New Roman"/>
                <w:sz w:val="20"/>
                <w:szCs w:val="20"/>
              </w:rPr>
              <w:t>)</w:t>
            </w:r>
            <w:r w:rsidRPr="00F009B6">
              <w:rPr>
                <w:rFonts w:ascii="Times New Roman" w:hAnsi="Times New Roman" w:cs="Times New Roman"/>
                <w:sz w:val="20"/>
                <w:szCs w:val="20"/>
                <w:vertAlign w:val="superscript"/>
              </w:rPr>
              <w:t>***</w:t>
            </w:r>
          </w:p>
        </w:tc>
        <w:tc>
          <w:tcPr>
            <w:tcW w:w="1308" w:type="pct"/>
            <w:tcMar>
              <w:top w:w="100" w:type="nil"/>
              <w:right w:w="100" w:type="nil"/>
            </w:tcMar>
          </w:tcPr>
          <w:p w:rsidR="00517C19" w:rsidRPr="00F009B6"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w:t>
            </w:r>
            <w:r>
              <w:rPr>
                <w:rFonts w:ascii="Times New Roman" w:hAnsi="Times New Roman" w:cs="Times New Roman"/>
                <w:sz w:val="20"/>
                <w:szCs w:val="20"/>
              </w:rPr>
              <w:t>9</w:t>
            </w:r>
            <w:r>
              <w:rPr>
                <w:rFonts w:ascii="Times New Roman" w:hAnsi="Times New Roman" w:cs="Times New Roman"/>
                <w:color w:val="808080" w:themeColor="background1" w:themeShade="80"/>
                <w:sz w:val="20"/>
                <w:szCs w:val="20"/>
              </w:rPr>
              <w:t>%</w:t>
            </w:r>
            <w:r w:rsidRPr="00F009B6">
              <w:rPr>
                <w:rFonts w:ascii="Times New Roman" w:hAnsi="Times New Roman" w:cs="Times New Roman"/>
                <w:sz w:val="20"/>
                <w:szCs w:val="20"/>
              </w:rPr>
              <w:t xml:space="preserve"> (</w:t>
            </w:r>
            <w:r>
              <w:rPr>
                <w:rFonts w:ascii="Times New Roman" w:hAnsi="Times New Roman" w:cs="Times New Roman"/>
                <w:sz w:val="20"/>
                <w:szCs w:val="20"/>
              </w:rPr>
              <w:t>6,13</w:t>
            </w:r>
            <w:r w:rsidRPr="00F009B6">
              <w:rPr>
                <w:rFonts w:ascii="Times New Roman" w:hAnsi="Times New Roman" w:cs="Times New Roman"/>
                <w:sz w:val="20"/>
                <w:szCs w:val="20"/>
              </w:rPr>
              <w:t>)</w:t>
            </w:r>
            <w:r w:rsidRPr="00F009B6">
              <w:rPr>
                <w:rFonts w:ascii="Times New Roman" w:hAnsi="Times New Roman" w:cs="Times New Roman"/>
                <w:sz w:val="20"/>
                <w:szCs w:val="20"/>
                <w:vertAlign w:val="superscript"/>
              </w:rPr>
              <w:t>***</w:t>
            </w:r>
          </w:p>
        </w:tc>
        <w:tc>
          <w:tcPr>
            <w:tcW w:w="1325" w:type="pct"/>
            <w:tcMar>
              <w:top w:w="100" w:type="nil"/>
              <w:right w:w="100" w:type="nil"/>
            </w:tcMar>
          </w:tcPr>
          <w:p w:rsidR="00517C19" w:rsidRPr="00F009B6"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w:t>
            </w:r>
            <w:r>
              <w:rPr>
                <w:rFonts w:ascii="Times New Roman" w:hAnsi="Times New Roman" w:cs="Times New Roman"/>
                <w:sz w:val="20"/>
                <w:szCs w:val="20"/>
              </w:rPr>
              <w:t>11</w:t>
            </w:r>
            <w:r>
              <w:rPr>
                <w:rFonts w:ascii="Times New Roman" w:hAnsi="Times New Roman" w:cs="Times New Roman"/>
                <w:color w:val="808080" w:themeColor="background1" w:themeShade="80"/>
                <w:sz w:val="20"/>
                <w:szCs w:val="20"/>
              </w:rPr>
              <w:t>%</w:t>
            </w:r>
            <w:r w:rsidRPr="00F009B6">
              <w:rPr>
                <w:rFonts w:ascii="Times New Roman" w:hAnsi="Times New Roman" w:cs="Times New Roman"/>
                <w:sz w:val="20"/>
                <w:szCs w:val="20"/>
              </w:rPr>
              <w:t xml:space="preserve"> (</w:t>
            </w:r>
            <w:r>
              <w:rPr>
                <w:rFonts w:ascii="Times New Roman" w:hAnsi="Times New Roman" w:cs="Times New Roman"/>
                <w:sz w:val="20"/>
                <w:szCs w:val="20"/>
              </w:rPr>
              <w:t>8,15</w:t>
            </w:r>
            <w:r w:rsidRPr="00F009B6">
              <w:rPr>
                <w:rFonts w:ascii="Times New Roman" w:hAnsi="Times New Roman" w:cs="Times New Roman"/>
                <w:sz w:val="20"/>
                <w:szCs w:val="20"/>
              </w:rPr>
              <w:t>)</w:t>
            </w:r>
            <w:r w:rsidRPr="00F009B6">
              <w:rPr>
                <w:rFonts w:ascii="Times New Roman" w:hAnsi="Times New Roman" w:cs="Times New Roman"/>
                <w:sz w:val="20"/>
                <w:szCs w:val="20"/>
                <w:vertAlign w:val="superscript"/>
              </w:rPr>
              <w:t>***</w:t>
            </w:r>
          </w:p>
        </w:tc>
      </w:tr>
      <w:tr w:rsidR="00517C19" w:rsidRPr="00F009B6" w:rsidTr="006D4221">
        <w:tc>
          <w:tcPr>
            <w:tcW w:w="1184" w:type="pct"/>
            <w:tcMar>
              <w:top w:w="100" w:type="nil"/>
              <w:right w:w="100" w:type="nil"/>
            </w:tcMar>
          </w:tcPr>
          <w:p w:rsidR="00517C19" w:rsidRPr="00F009B6"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 xml:space="preserve">       -Asthma </w:t>
            </w:r>
          </w:p>
        </w:tc>
        <w:tc>
          <w:tcPr>
            <w:tcW w:w="1183" w:type="pct"/>
            <w:tcMar>
              <w:top w:w="100" w:type="nil"/>
              <w:right w:w="100" w:type="nil"/>
            </w:tcMar>
          </w:tcPr>
          <w:p w:rsidR="00517C19" w:rsidRPr="00F009B6"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w:t>
            </w:r>
            <w:r>
              <w:rPr>
                <w:rFonts w:ascii="Times New Roman" w:hAnsi="Times New Roman" w:cs="Times New Roman"/>
                <w:sz w:val="20"/>
                <w:szCs w:val="20"/>
              </w:rPr>
              <w:t>14</w:t>
            </w:r>
            <w:r>
              <w:rPr>
                <w:rFonts w:ascii="Times New Roman" w:hAnsi="Times New Roman" w:cs="Times New Roman"/>
                <w:color w:val="808080" w:themeColor="background1" w:themeShade="80"/>
                <w:sz w:val="20"/>
                <w:szCs w:val="20"/>
              </w:rPr>
              <w:t>%</w:t>
            </w:r>
            <w:r w:rsidRPr="00F009B6">
              <w:rPr>
                <w:rFonts w:ascii="Times New Roman" w:hAnsi="Times New Roman" w:cs="Times New Roman"/>
                <w:sz w:val="20"/>
                <w:szCs w:val="20"/>
              </w:rPr>
              <w:t xml:space="preserve"> (</w:t>
            </w:r>
            <w:r>
              <w:rPr>
                <w:rFonts w:ascii="Times New Roman" w:hAnsi="Times New Roman" w:cs="Times New Roman"/>
                <w:sz w:val="20"/>
                <w:szCs w:val="20"/>
              </w:rPr>
              <w:t>11</w:t>
            </w:r>
            <w:r w:rsidRPr="00F009B6">
              <w:rPr>
                <w:rFonts w:ascii="Times New Roman" w:hAnsi="Times New Roman" w:cs="Times New Roman"/>
                <w:sz w:val="20"/>
                <w:szCs w:val="20"/>
              </w:rPr>
              <w:t>,</w:t>
            </w:r>
            <w:r>
              <w:rPr>
                <w:rFonts w:ascii="Times New Roman" w:hAnsi="Times New Roman" w:cs="Times New Roman"/>
                <w:sz w:val="20"/>
                <w:szCs w:val="20"/>
              </w:rPr>
              <w:t>16</w:t>
            </w:r>
            <w:r w:rsidRPr="00F009B6">
              <w:rPr>
                <w:rFonts w:ascii="Times New Roman" w:hAnsi="Times New Roman" w:cs="Times New Roman"/>
                <w:sz w:val="20"/>
                <w:szCs w:val="20"/>
              </w:rPr>
              <w:t>)</w:t>
            </w:r>
            <w:r w:rsidRPr="00F009B6">
              <w:rPr>
                <w:rFonts w:ascii="Times New Roman" w:hAnsi="Times New Roman" w:cs="Times New Roman"/>
                <w:sz w:val="20"/>
                <w:szCs w:val="20"/>
                <w:vertAlign w:val="superscript"/>
              </w:rPr>
              <w:t>***</w:t>
            </w:r>
          </w:p>
        </w:tc>
        <w:tc>
          <w:tcPr>
            <w:tcW w:w="1308" w:type="pct"/>
            <w:tcMar>
              <w:top w:w="100" w:type="nil"/>
              <w:right w:w="100" w:type="nil"/>
            </w:tcMar>
          </w:tcPr>
          <w:p w:rsidR="00517C19" w:rsidRPr="00F009B6"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w:t>
            </w:r>
            <w:r>
              <w:rPr>
                <w:rFonts w:ascii="Times New Roman" w:hAnsi="Times New Roman" w:cs="Times New Roman"/>
                <w:sz w:val="20"/>
                <w:szCs w:val="20"/>
              </w:rPr>
              <w:t>18</w:t>
            </w:r>
            <w:r>
              <w:rPr>
                <w:rFonts w:ascii="Times New Roman" w:hAnsi="Times New Roman" w:cs="Times New Roman"/>
                <w:color w:val="808080" w:themeColor="background1" w:themeShade="80"/>
                <w:sz w:val="20"/>
                <w:szCs w:val="20"/>
              </w:rPr>
              <w:t>%</w:t>
            </w:r>
            <w:r w:rsidRPr="00F009B6">
              <w:rPr>
                <w:rFonts w:ascii="Times New Roman" w:hAnsi="Times New Roman" w:cs="Times New Roman"/>
                <w:sz w:val="20"/>
                <w:szCs w:val="20"/>
              </w:rPr>
              <w:t xml:space="preserve"> (</w:t>
            </w:r>
            <w:r>
              <w:rPr>
                <w:rFonts w:ascii="Times New Roman" w:hAnsi="Times New Roman" w:cs="Times New Roman"/>
                <w:sz w:val="20"/>
                <w:szCs w:val="20"/>
              </w:rPr>
              <w:t>14,23</w:t>
            </w:r>
            <w:r w:rsidRPr="00F009B6">
              <w:rPr>
                <w:rFonts w:ascii="Times New Roman" w:hAnsi="Times New Roman" w:cs="Times New Roman"/>
                <w:sz w:val="20"/>
                <w:szCs w:val="20"/>
              </w:rPr>
              <w:t>)</w:t>
            </w:r>
            <w:r w:rsidRPr="00F009B6">
              <w:rPr>
                <w:rFonts w:ascii="Times New Roman" w:hAnsi="Times New Roman" w:cs="Times New Roman"/>
                <w:sz w:val="20"/>
                <w:szCs w:val="20"/>
                <w:vertAlign w:val="superscript"/>
              </w:rPr>
              <w:t>***</w:t>
            </w:r>
          </w:p>
        </w:tc>
        <w:tc>
          <w:tcPr>
            <w:tcW w:w="1325" w:type="pct"/>
            <w:tcMar>
              <w:top w:w="100" w:type="nil"/>
              <w:right w:w="100" w:type="nil"/>
            </w:tcMar>
          </w:tcPr>
          <w:p w:rsidR="00517C19" w:rsidRPr="00F009B6"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w:t>
            </w:r>
            <w:r>
              <w:rPr>
                <w:rFonts w:ascii="Times New Roman" w:hAnsi="Times New Roman" w:cs="Times New Roman"/>
                <w:sz w:val="20"/>
                <w:szCs w:val="20"/>
              </w:rPr>
              <w:t>21</w:t>
            </w:r>
            <w:r>
              <w:rPr>
                <w:rFonts w:ascii="Times New Roman" w:hAnsi="Times New Roman" w:cs="Times New Roman"/>
                <w:color w:val="808080" w:themeColor="background1" w:themeShade="80"/>
                <w:sz w:val="20"/>
                <w:szCs w:val="20"/>
              </w:rPr>
              <w:t>%</w:t>
            </w:r>
            <w:r w:rsidRPr="00F009B6">
              <w:rPr>
                <w:rFonts w:ascii="Times New Roman" w:hAnsi="Times New Roman" w:cs="Times New Roman"/>
                <w:sz w:val="20"/>
                <w:szCs w:val="20"/>
              </w:rPr>
              <w:t xml:space="preserve"> (</w:t>
            </w:r>
            <w:r>
              <w:rPr>
                <w:rFonts w:ascii="Times New Roman" w:hAnsi="Times New Roman" w:cs="Times New Roman"/>
                <w:sz w:val="20"/>
                <w:szCs w:val="20"/>
              </w:rPr>
              <w:t>17</w:t>
            </w:r>
            <w:r w:rsidRPr="00F009B6">
              <w:rPr>
                <w:rFonts w:ascii="Times New Roman" w:hAnsi="Times New Roman" w:cs="Times New Roman"/>
                <w:sz w:val="20"/>
                <w:szCs w:val="20"/>
              </w:rPr>
              <w:t>,</w:t>
            </w:r>
            <w:r>
              <w:rPr>
                <w:rFonts w:ascii="Times New Roman" w:hAnsi="Times New Roman" w:cs="Times New Roman"/>
                <w:sz w:val="20"/>
                <w:szCs w:val="20"/>
              </w:rPr>
              <w:t>25</w:t>
            </w:r>
            <w:r w:rsidRPr="00F009B6">
              <w:rPr>
                <w:rFonts w:ascii="Times New Roman" w:hAnsi="Times New Roman" w:cs="Times New Roman"/>
                <w:sz w:val="20"/>
                <w:szCs w:val="20"/>
              </w:rPr>
              <w:t>)</w:t>
            </w:r>
            <w:r w:rsidRPr="00F009B6">
              <w:rPr>
                <w:rFonts w:ascii="Times New Roman" w:hAnsi="Times New Roman" w:cs="Times New Roman"/>
                <w:sz w:val="20"/>
                <w:szCs w:val="20"/>
                <w:vertAlign w:val="superscript"/>
              </w:rPr>
              <w:t>***</w:t>
            </w:r>
          </w:p>
        </w:tc>
      </w:tr>
      <w:tr w:rsidR="00517C19" w:rsidRPr="00F009B6" w:rsidTr="006D4221">
        <w:tc>
          <w:tcPr>
            <w:tcW w:w="1184" w:type="pct"/>
            <w:tcMar>
              <w:top w:w="100" w:type="nil"/>
              <w:right w:w="100" w:type="nil"/>
            </w:tcMar>
          </w:tcPr>
          <w:p w:rsidR="00517C19" w:rsidRPr="00F009B6"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 xml:space="preserve">       -Diabetes </w:t>
            </w:r>
          </w:p>
        </w:tc>
        <w:tc>
          <w:tcPr>
            <w:tcW w:w="1183" w:type="pct"/>
            <w:tcMar>
              <w:top w:w="100" w:type="nil"/>
              <w:right w:w="100" w:type="nil"/>
            </w:tcMar>
          </w:tcPr>
          <w:p w:rsidR="00517C19" w:rsidRPr="00F009B6"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w:t>
            </w:r>
            <w:r>
              <w:rPr>
                <w:rFonts w:ascii="Times New Roman" w:hAnsi="Times New Roman" w:cs="Times New Roman"/>
                <w:sz w:val="20"/>
                <w:szCs w:val="20"/>
              </w:rPr>
              <w:t>18</w:t>
            </w:r>
            <w:r>
              <w:rPr>
                <w:rFonts w:ascii="Times New Roman" w:hAnsi="Times New Roman" w:cs="Times New Roman"/>
                <w:color w:val="808080" w:themeColor="background1" w:themeShade="80"/>
                <w:sz w:val="20"/>
                <w:szCs w:val="20"/>
              </w:rPr>
              <w:t>%</w:t>
            </w:r>
            <w:r w:rsidRPr="00F009B6">
              <w:rPr>
                <w:rFonts w:ascii="Times New Roman" w:hAnsi="Times New Roman" w:cs="Times New Roman"/>
                <w:sz w:val="20"/>
                <w:szCs w:val="20"/>
              </w:rPr>
              <w:t xml:space="preserve"> (</w:t>
            </w:r>
            <w:r>
              <w:rPr>
                <w:rFonts w:ascii="Times New Roman" w:hAnsi="Times New Roman" w:cs="Times New Roman"/>
                <w:sz w:val="20"/>
                <w:szCs w:val="20"/>
              </w:rPr>
              <w:t>15,22</w:t>
            </w:r>
            <w:r w:rsidRPr="00F009B6">
              <w:rPr>
                <w:rFonts w:ascii="Times New Roman" w:hAnsi="Times New Roman" w:cs="Times New Roman"/>
                <w:sz w:val="20"/>
                <w:szCs w:val="20"/>
              </w:rPr>
              <w:t>)</w:t>
            </w:r>
            <w:r w:rsidRPr="00F009B6">
              <w:rPr>
                <w:rFonts w:ascii="Times New Roman" w:hAnsi="Times New Roman" w:cs="Times New Roman"/>
                <w:sz w:val="20"/>
                <w:szCs w:val="20"/>
                <w:vertAlign w:val="superscript"/>
              </w:rPr>
              <w:t>***</w:t>
            </w:r>
          </w:p>
        </w:tc>
        <w:tc>
          <w:tcPr>
            <w:tcW w:w="1308" w:type="pct"/>
            <w:tcMar>
              <w:top w:w="100" w:type="nil"/>
              <w:right w:w="100" w:type="nil"/>
            </w:tcMar>
          </w:tcPr>
          <w:p w:rsidR="00517C19" w:rsidRPr="00F009B6"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w:t>
            </w:r>
            <w:r>
              <w:rPr>
                <w:rFonts w:ascii="Times New Roman" w:hAnsi="Times New Roman" w:cs="Times New Roman"/>
                <w:sz w:val="20"/>
                <w:szCs w:val="20"/>
              </w:rPr>
              <w:t>9</w:t>
            </w:r>
            <w:r>
              <w:rPr>
                <w:rFonts w:ascii="Times New Roman" w:hAnsi="Times New Roman" w:cs="Times New Roman"/>
                <w:color w:val="808080" w:themeColor="background1" w:themeShade="80"/>
                <w:sz w:val="20"/>
                <w:szCs w:val="20"/>
              </w:rPr>
              <w:t>%</w:t>
            </w:r>
            <w:r w:rsidRPr="00F009B6">
              <w:rPr>
                <w:rFonts w:ascii="Times New Roman" w:hAnsi="Times New Roman" w:cs="Times New Roman"/>
                <w:sz w:val="20"/>
                <w:szCs w:val="20"/>
              </w:rPr>
              <w:t xml:space="preserve"> (</w:t>
            </w:r>
            <w:r>
              <w:rPr>
                <w:rFonts w:ascii="Times New Roman" w:hAnsi="Times New Roman" w:cs="Times New Roman"/>
                <w:sz w:val="20"/>
                <w:szCs w:val="20"/>
              </w:rPr>
              <w:t>4,14</w:t>
            </w:r>
            <w:r w:rsidRPr="00F009B6">
              <w:rPr>
                <w:rFonts w:ascii="Times New Roman" w:hAnsi="Times New Roman" w:cs="Times New Roman"/>
                <w:sz w:val="20"/>
                <w:szCs w:val="20"/>
              </w:rPr>
              <w:t>)</w:t>
            </w:r>
            <w:r w:rsidRPr="00F009B6">
              <w:rPr>
                <w:rFonts w:ascii="Times New Roman" w:hAnsi="Times New Roman" w:cs="Times New Roman"/>
                <w:sz w:val="20"/>
                <w:szCs w:val="20"/>
                <w:vertAlign w:val="superscript"/>
              </w:rPr>
              <w:t>***</w:t>
            </w:r>
          </w:p>
        </w:tc>
        <w:tc>
          <w:tcPr>
            <w:tcW w:w="1325" w:type="pct"/>
            <w:tcMar>
              <w:top w:w="100" w:type="nil"/>
              <w:right w:w="100" w:type="nil"/>
            </w:tcMar>
          </w:tcPr>
          <w:p w:rsidR="00517C19" w:rsidRPr="00F009B6"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w:t>
            </w:r>
            <w:r>
              <w:rPr>
                <w:rFonts w:ascii="Times New Roman" w:hAnsi="Times New Roman" w:cs="Times New Roman"/>
                <w:sz w:val="20"/>
                <w:szCs w:val="20"/>
              </w:rPr>
              <w:t>13</w:t>
            </w:r>
            <w:r>
              <w:rPr>
                <w:rFonts w:ascii="Times New Roman" w:hAnsi="Times New Roman" w:cs="Times New Roman"/>
                <w:color w:val="808080" w:themeColor="background1" w:themeShade="80"/>
                <w:sz w:val="20"/>
                <w:szCs w:val="20"/>
              </w:rPr>
              <w:t>%</w:t>
            </w:r>
            <w:r w:rsidRPr="00F009B6">
              <w:rPr>
                <w:rFonts w:ascii="Times New Roman" w:hAnsi="Times New Roman" w:cs="Times New Roman"/>
                <w:sz w:val="20"/>
                <w:szCs w:val="20"/>
              </w:rPr>
              <w:t xml:space="preserve"> (</w:t>
            </w:r>
            <w:r>
              <w:rPr>
                <w:rFonts w:ascii="Times New Roman" w:hAnsi="Times New Roman" w:cs="Times New Roman"/>
                <w:sz w:val="20"/>
                <w:szCs w:val="20"/>
              </w:rPr>
              <w:t>8,18</w:t>
            </w:r>
            <w:r w:rsidRPr="00F009B6">
              <w:rPr>
                <w:rFonts w:ascii="Times New Roman" w:hAnsi="Times New Roman" w:cs="Times New Roman"/>
                <w:sz w:val="20"/>
                <w:szCs w:val="20"/>
              </w:rPr>
              <w:t>)</w:t>
            </w:r>
            <w:r w:rsidRPr="00F009B6">
              <w:rPr>
                <w:rFonts w:ascii="Times New Roman" w:hAnsi="Times New Roman" w:cs="Times New Roman"/>
                <w:sz w:val="20"/>
                <w:szCs w:val="20"/>
                <w:vertAlign w:val="superscript"/>
              </w:rPr>
              <w:t>***</w:t>
            </w:r>
          </w:p>
        </w:tc>
      </w:tr>
      <w:tr w:rsidR="00517C19" w:rsidRPr="00F009B6" w:rsidTr="006D4221">
        <w:tc>
          <w:tcPr>
            <w:tcW w:w="1184" w:type="pct"/>
            <w:tcMar>
              <w:top w:w="100" w:type="nil"/>
              <w:right w:w="100" w:type="nil"/>
            </w:tcMar>
          </w:tcPr>
          <w:p w:rsidR="00517C19" w:rsidRPr="00F009B6"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 xml:space="preserve">       -Appendicitis </w:t>
            </w:r>
          </w:p>
        </w:tc>
        <w:tc>
          <w:tcPr>
            <w:tcW w:w="1183" w:type="pct"/>
            <w:tcMar>
              <w:top w:w="100" w:type="nil"/>
              <w:right w:w="100" w:type="nil"/>
            </w:tcMar>
          </w:tcPr>
          <w:p w:rsidR="00517C19" w:rsidRPr="00F009B6"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w:t>
            </w:r>
            <w:r>
              <w:rPr>
                <w:rFonts w:ascii="Times New Roman" w:hAnsi="Times New Roman" w:cs="Times New Roman"/>
                <w:sz w:val="20"/>
                <w:szCs w:val="20"/>
              </w:rPr>
              <w:t>10</w:t>
            </w:r>
            <w:r>
              <w:rPr>
                <w:rFonts w:ascii="Times New Roman" w:hAnsi="Times New Roman" w:cs="Times New Roman"/>
                <w:color w:val="808080" w:themeColor="background1" w:themeShade="80"/>
                <w:sz w:val="20"/>
                <w:szCs w:val="20"/>
              </w:rPr>
              <w:t>%</w:t>
            </w:r>
            <w:r w:rsidRPr="00F009B6">
              <w:rPr>
                <w:rFonts w:ascii="Times New Roman" w:hAnsi="Times New Roman" w:cs="Times New Roman"/>
                <w:sz w:val="20"/>
                <w:szCs w:val="20"/>
              </w:rPr>
              <w:t xml:space="preserve"> (</w:t>
            </w:r>
            <w:r>
              <w:rPr>
                <w:rFonts w:ascii="Times New Roman" w:hAnsi="Times New Roman" w:cs="Times New Roman"/>
                <w:sz w:val="20"/>
                <w:szCs w:val="20"/>
              </w:rPr>
              <w:t>7,13</w:t>
            </w:r>
            <w:r w:rsidRPr="00F009B6">
              <w:rPr>
                <w:rFonts w:ascii="Times New Roman" w:hAnsi="Times New Roman" w:cs="Times New Roman"/>
                <w:sz w:val="20"/>
                <w:szCs w:val="20"/>
              </w:rPr>
              <w:t>)</w:t>
            </w:r>
            <w:r w:rsidRPr="00F009B6">
              <w:rPr>
                <w:rFonts w:ascii="Times New Roman" w:hAnsi="Times New Roman" w:cs="Times New Roman"/>
                <w:sz w:val="20"/>
                <w:szCs w:val="20"/>
                <w:vertAlign w:val="superscript"/>
              </w:rPr>
              <w:t>***</w:t>
            </w:r>
          </w:p>
        </w:tc>
        <w:tc>
          <w:tcPr>
            <w:tcW w:w="1308" w:type="pct"/>
            <w:tcMar>
              <w:top w:w="100" w:type="nil"/>
              <w:right w:w="100" w:type="nil"/>
            </w:tcMar>
          </w:tcPr>
          <w:p w:rsidR="00517C19" w:rsidRPr="00F009B6"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w:t>
            </w:r>
            <w:r>
              <w:rPr>
                <w:rFonts w:ascii="Times New Roman" w:hAnsi="Times New Roman" w:cs="Times New Roman"/>
                <w:sz w:val="20"/>
                <w:szCs w:val="20"/>
              </w:rPr>
              <w:t>10</w:t>
            </w:r>
            <w:r>
              <w:rPr>
                <w:rFonts w:ascii="Times New Roman" w:hAnsi="Times New Roman" w:cs="Times New Roman"/>
                <w:color w:val="808080" w:themeColor="background1" w:themeShade="80"/>
                <w:sz w:val="20"/>
                <w:szCs w:val="20"/>
              </w:rPr>
              <w:t>%</w:t>
            </w:r>
            <w:r w:rsidRPr="00F009B6">
              <w:rPr>
                <w:rFonts w:ascii="Times New Roman" w:hAnsi="Times New Roman" w:cs="Times New Roman"/>
                <w:sz w:val="20"/>
                <w:szCs w:val="20"/>
              </w:rPr>
              <w:t xml:space="preserve"> (</w:t>
            </w:r>
            <w:r>
              <w:rPr>
                <w:rFonts w:ascii="Times New Roman" w:hAnsi="Times New Roman" w:cs="Times New Roman"/>
                <w:sz w:val="20"/>
                <w:szCs w:val="20"/>
              </w:rPr>
              <w:t>7,13</w:t>
            </w:r>
            <w:r w:rsidRPr="00F009B6">
              <w:rPr>
                <w:rFonts w:ascii="Times New Roman" w:hAnsi="Times New Roman" w:cs="Times New Roman"/>
                <w:sz w:val="20"/>
                <w:szCs w:val="20"/>
              </w:rPr>
              <w:t>)</w:t>
            </w:r>
            <w:r w:rsidRPr="00F009B6">
              <w:rPr>
                <w:rFonts w:ascii="Times New Roman" w:hAnsi="Times New Roman" w:cs="Times New Roman"/>
                <w:sz w:val="20"/>
                <w:szCs w:val="20"/>
                <w:vertAlign w:val="superscript"/>
              </w:rPr>
              <w:t>***</w:t>
            </w:r>
          </w:p>
        </w:tc>
        <w:tc>
          <w:tcPr>
            <w:tcW w:w="1325" w:type="pct"/>
            <w:tcMar>
              <w:top w:w="100" w:type="nil"/>
              <w:right w:w="100" w:type="nil"/>
            </w:tcMar>
          </w:tcPr>
          <w:p w:rsidR="00517C19" w:rsidRPr="00F009B6"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w:t>
            </w:r>
            <w:r>
              <w:rPr>
                <w:rFonts w:ascii="Times New Roman" w:hAnsi="Times New Roman" w:cs="Times New Roman"/>
                <w:sz w:val="20"/>
                <w:szCs w:val="20"/>
              </w:rPr>
              <w:t>10</w:t>
            </w:r>
            <w:r>
              <w:rPr>
                <w:rFonts w:ascii="Times New Roman" w:hAnsi="Times New Roman" w:cs="Times New Roman"/>
                <w:color w:val="808080" w:themeColor="background1" w:themeShade="80"/>
                <w:sz w:val="20"/>
                <w:szCs w:val="20"/>
              </w:rPr>
              <w:t>%</w:t>
            </w:r>
            <w:r w:rsidRPr="00F009B6">
              <w:rPr>
                <w:rFonts w:ascii="Times New Roman" w:hAnsi="Times New Roman" w:cs="Times New Roman"/>
                <w:sz w:val="20"/>
                <w:szCs w:val="20"/>
              </w:rPr>
              <w:t xml:space="preserve"> (</w:t>
            </w:r>
            <w:r>
              <w:rPr>
                <w:rFonts w:ascii="Times New Roman" w:hAnsi="Times New Roman" w:cs="Times New Roman"/>
                <w:sz w:val="20"/>
                <w:szCs w:val="20"/>
              </w:rPr>
              <w:t>7,13</w:t>
            </w:r>
            <w:r w:rsidRPr="00F009B6">
              <w:rPr>
                <w:rFonts w:ascii="Times New Roman" w:hAnsi="Times New Roman" w:cs="Times New Roman"/>
                <w:sz w:val="20"/>
                <w:szCs w:val="20"/>
              </w:rPr>
              <w:t>)</w:t>
            </w:r>
            <w:r w:rsidRPr="00F009B6">
              <w:rPr>
                <w:rFonts w:ascii="Times New Roman" w:hAnsi="Times New Roman" w:cs="Times New Roman"/>
                <w:sz w:val="20"/>
                <w:szCs w:val="20"/>
                <w:vertAlign w:val="superscript"/>
              </w:rPr>
              <w:t>***</w:t>
            </w:r>
          </w:p>
        </w:tc>
      </w:tr>
      <w:tr w:rsidR="00517C19" w:rsidRPr="00F009B6" w:rsidTr="006D4221">
        <w:tc>
          <w:tcPr>
            <w:tcW w:w="1184" w:type="pct"/>
            <w:tcMar>
              <w:top w:w="100" w:type="nil"/>
              <w:right w:w="100" w:type="nil"/>
            </w:tcMar>
          </w:tcPr>
          <w:p w:rsidR="00517C19" w:rsidRPr="00F009B6"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 xml:space="preserve">       -Biliary tract disease </w:t>
            </w:r>
          </w:p>
        </w:tc>
        <w:tc>
          <w:tcPr>
            <w:tcW w:w="1183" w:type="pct"/>
            <w:tcMar>
              <w:top w:w="100" w:type="nil"/>
              <w:right w:w="100" w:type="nil"/>
            </w:tcMar>
          </w:tcPr>
          <w:p w:rsidR="00517C19" w:rsidRPr="00F009B6"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w:t>
            </w:r>
            <w:r>
              <w:rPr>
                <w:rFonts w:ascii="Times New Roman" w:hAnsi="Times New Roman" w:cs="Times New Roman"/>
                <w:sz w:val="20"/>
                <w:szCs w:val="20"/>
              </w:rPr>
              <w:t>3</w:t>
            </w:r>
            <w:r>
              <w:rPr>
                <w:rFonts w:ascii="Times New Roman" w:hAnsi="Times New Roman" w:cs="Times New Roman"/>
                <w:color w:val="808080" w:themeColor="background1" w:themeShade="80"/>
                <w:sz w:val="20"/>
                <w:szCs w:val="20"/>
              </w:rPr>
              <w:t>%</w:t>
            </w:r>
            <w:r w:rsidRPr="00F009B6">
              <w:rPr>
                <w:rFonts w:ascii="Times New Roman" w:hAnsi="Times New Roman" w:cs="Times New Roman"/>
                <w:sz w:val="20"/>
                <w:szCs w:val="20"/>
              </w:rPr>
              <w:t xml:space="preserve"> (</w:t>
            </w:r>
            <w:r>
              <w:rPr>
                <w:rFonts w:ascii="Times New Roman" w:hAnsi="Times New Roman" w:cs="Times New Roman"/>
                <w:sz w:val="20"/>
                <w:szCs w:val="20"/>
              </w:rPr>
              <w:t>-6,0.4</w:t>
            </w:r>
            <w:r w:rsidRPr="00F009B6">
              <w:rPr>
                <w:rFonts w:ascii="Times New Roman" w:hAnsi="Times New Roman" w:cs="Times New Roman"/>
                <w:sz w:val="20"/>
                <w:szCs w:val="20"/>
              </w:rPr>
              <w:t>)</w:t>
            </w:r>
          </w:p>
        </w:tc>
        <w:tc>
          <w:tcPr>
            <w:tcW w:w="1308" w:type="pct"/>
            <w:tcMar>
              <w:top w:w="100" w:type="nil"/>
              <w:right w:w="100" w:type="nil"/>
            </w:tcMar>
          </w:tcPr>
          <w:p w:rsidR="00517C19" w:rsidRPr="00F009B6"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w:t>
            </w:r>
            <w:r>
              <w:rPr>
                <w:rFonts w:ascii="Times New Roman" w:hAnsi="Times New Roman" w:cs="Times New Roman"/>
                <w:sz w:val="20"/>
                <w:szCs w:val="20"/>
              </w:rPr>
              <w:t>2</w:t>
            </w:r>
            <w:r>
              <w:rPr>
                <w:rFonts w:ascii="Times New Roman" w:hAnsi="Times New Roman" w:cs="Times New Roman"/>
                <w:color w:val="808080" w:themeColor="background1" w:themeShade="80"/>
                <w:sz w:val="20"/>
                <w:szCs w:val="20"/>
              </w:rPr>
              <w:t>%</w:t>
            </w:r>
            <w:r w:rsidRPr="00F009B6">
              <w:rPr>
                <w:rFonts w:ascii="Times New Roman" w:hAnsi="Times New Roman" w:cs="Times New Roman"/>
                <w:sz w:val="20"/>
                <w:szCs w:val="20"/>
              </w:rPr>
              <w:t xml:space="preserve"> (-</w:t>
            </w:r>
            <w:r>
              <w:rPr>
                <w:rFonts w:ascii="Times New Roman" w:hAnsi="Times New Roman" w:cs="Times New Roman"/>
                <w:sz w:val="20"/>
                <w:szCs w:val="20"/>
              </w:rPr>
              <w:t>5,2</w:t>
            </w:r>
            <w:r w:rsidRPr="00F009B6">
              <w:rPr>
                <w:rFonts w:ascii="Times New Roman" w:hAnsi="Times New Roman" w:cs="Times New Roman"/>
                <w:sz w:val="20"/>
                <w:szCs w:val="20"/>
              </w:rPr>
              <w:t>)</w:t>
            </w:r>
          </w:p>
        </w:tc>
        <w:tc>
          <w:tcPr>
            <w:tcW w:w="1325" w:type="pct"/>
            <w:tcMar>
              <w:top w:w="100" w:type="nil"/>
              <w:right w:w="100" w:type="nil"/>
            </w:tcMar>
          </w:tcPr>
          <w:p w:rsidR="00517C19" w:rsidRPr="00F009B6"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w:t>
            </w:r>
            <w:r>
              <w:rPr>
                <w:rFonts w:ascii="Times New Roman" w:hAnsi="Times New Roman" w:cs="Times New Roman"/>
                <w:sz w:val="20"/>
                <w:szCs w:val="20"/>
              </w:rPr>
              <w:t>2</w:t>
            </w:r>
            <w:r w:rsidRPr="00F009B6">
              <w:rPr>
                <w:rFonts w:ascii="Times New Roman" w:hAnsi="Times New Roman" w:cs="Times New Roman"/>
                <w:sz w:val="20"/>
                <w:szCs w:val="20"/>
              </w:rPr>
              <w:t xml:space="preserve"> </w:t>
            </w:r>
            <w:r>
              <w:rPr>
                <w:rFonts w:ascii="Times New Roman" w:hAnsi="Times New Roman" w:cs="Times New Roman"/>
                <w:color w:val="808080" w:themeColor="background1" w:themeShade="80"/>
                <w:sz w:val="20"/>
                <w:szCs w:val="20"/>
              </w:rPr>
              <w:t>%</w:t>
            </w:r>
            <w:r>
              <w:rPr>
                <w:rFonts w:ascii="Times New Roman" w:hAnsi="Times New Roman" w:cs="Times New Roman"/>
                <w:sz w:val="20"/>
                <w:szCs w:val="20"/>
              </w:rPr>
              <w:t xml:space="preserve"> (-5,1</w:t>
            </w:r>
            <w:r w:rsidRPr="00F009B6">
              <w:rPr>
                <w:rFonts w:ascii="Times New Roman" w:hAnsi="Times New Roman" w:cs="Times New Roman"/>
                <w:sz w:val="20"/>
                <w:szCs w:val="20"/>
              </w:rPr>
              <w:t>)</w:t>
            </w:r>
          </w:p>
        </w:tc>
      </w:tr>
      <w:tr w:rsidR="00517C19" w:rsidRPr="00F009B6" w:rsidTr="006D4221">
        <w:tc>
          <w:tcPr>
            <w:tcW w:w="1184" w:type="pct"/>
            <w:tcMar>
              <w:top w:w="100" w:type="nil"/>
              <w:right w:w="100" w:type="nil"/>
            </w:tcMar>
          </w:tcPr>
          <w:p w:rsidR="00517C19" w:rsidRPr="00F009B6"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 xml:space="preserve">       -Skin and </w:t>
            </w:r>
            <w:proofErr w:type="spellStart"/>
            <w:r w:rsidRPr="00F009B6">
              <w:rPr>
                <w:rFonts w:ascii="Times New Roman" w:hAnsi="Times New Roman" w:cs="Times New Roman"/>
                <w:sz w:val="20"/>
                <w:szCs w:val="20"/>
              </w:rPr>
              <w:t>subc</w:t>
            </w:r>
            <w:proofErr w:type="spellEnd"/>
            <w:r w:rsidRPr="00F009B6">
              <w:rPr>
                <w:rFonts w:ascii="Times New Roman" w:hAnsi="Times New Roman" w:cs="Times New Roman"/>
                <w:sz w:val="20"/>
                <w:szCs w:val="20"/>
              </w:rPr>
              <w:t>. tissue infections</w:t>
            </w:r>
          </w:p>
        </w:tc>
        <w:tc>
          <w:tcPr>
            <w:tcW w:w="1183" w:type="pct"/>
            <w:tcMar>
              <w:top w:w="100" w:type="nil"/>
              <w:right w:w="100" w:type="nil"/>
            </w:tcMar>
          </w:tcPr>
          <w:p w:rsidR="00517C19" w:rsidRPr="00F009B6"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w:t>
            </w:r>
            <w:r>
              <w:rPr>
                <w:rFonts w:ascii="Times New Roman" w:hAnsi="Times New Roman" w:cs="Times New Roman"/>
                <w:sz w:val="20"/>
                <w:szCs w:val="20"/>
              </w:rPr>
              <w:t>17</w:t>
            </w:r>
            <w:r>
              <w:rPr>
                <w:rFonts w:ascii="Times New Roman" w:hAnsi="Times New Roman" w:cs="Times New Roman"/>
                <w:color w:val="808080" w:themeColor="background1" w:themeShade="80"/>
                <w:sz w:val="20"/>
                <w:szCs w:val="20"/>
              </w:rPr>
              <w:t>%</w:t>
            </w:r>
            <w:r w:rsidRPr="00F009B6">
              <w:rPr>
                <w:rFonts w:ascii="Times New Roman" w:hAnsi="Times New Roman" w:cs="Times New Roman"/>
                <w:sz w:val="20"/>
                <w:szCs w:val="20"/>
              </w:rPr>
              <w:t xml:space="preserve"> (</w:t>
            </w:r>
            <w:r>
              <w:rPr>
                <w:rFonts w:ascii="Times New Roman" w:hAnsi="Times New Roman" w:cs="Times New Roman"/>
                <w:sz w:val="20"/>
                <w:szCs w:val="20"/>
              </w:rPr>
              <w:t>14,20</w:t>
            </w:r>
            <w:r w:rsidRPr="00F009B6">
              <w:rPr>
                <w:rFonts w:ascii="Times New Roman" w:hAnsi="Times New Roman" w:cs="Times New Roman"/>
                <w:sz w:val="20"/>
                <w:szCs w:val="20"/>
              </w:rPr>
              <w:t>)</w:t>
            </w:r>
            <w:r w:rsidRPr="00F009B6">
              <w:rPr>
                <w:rFonts w:ascii="Times New Roman" w:hAnsi="Times New Roman" w:cs="Times New Roman"/>
                <w:sz w:val="20"/>
                <w:szCs w:val="20"/>
                <w:vertAlign w:val="superscript"/>
              </w:rPr>
              <w:t>***</w:t>
            </w:r>
          </w:p>
        </w:tc>
        <w:tc>
          <w:tcPr>
            <w:tcW w:w="1308" w:type="pct"/>
            <w:tcMar>
              <w:top w:w="100" w:type="nil"/>
              <w:right w:w="100" w:type="nil"/>
            </w:tcMar>
          </w:tcPr>
          <w:p w:rsidR="00517C19" w:rsidRPr="00F009B6"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w:t>
            </w:r>
            <w:r>
              <w:rPr>
                <w:rFonts w:ascii="Times New Roman" w:hAnsi="Times New Roman" w:cs="Times New Roman"/>
                <w:sz w:val="20"/>
                <w:szCs w:val="20"/>
              </w:rPr>
              <w:t>20</w:t>
            </w:r>
            <w:r>
              <w:rPr>
                <w:rFonts w:ascii="Times New Roman" w:hAnsi="Times New Roman" w:cs="Times New Roman"/>
                <w:color w:val="808080" w:themeColor="background1" w:themeShade="80"/>
                <w:sz w:val="20"/>
                <w:szCs w:val="20"/>
              </w:rPr>
              <w:t>%</w:t>
            </w:r>
            <w:r w:rsidRPr="00F009B6">
              <w:rPr>
                <w:rFonts w:ascii="Times New Roman" w:hAnsi="Times New Roman" w:cs="Times New Roman"/>
                <w:sz w:val="20"/>
                <w:szCs w:val="20"/>
              </w:rPr>
              <w:t xml:space="preserve"> (</w:t>
            </w:r>
            <w:r>
              <w:rPr>
                <w:rFonts w:ascii="Times New Roman" w:hAnsi="Times New Roman" w:cs="Times New Roman"/>
                <w:sz w:val="20"/>
                <w:szCs w:val="20"/>
              </w:rPr>
              <w:t>16,24</w:t>
            </w:r>
            <w:r w:rsidRPr="00F009B6">
              <w:rPr>
                <w:rFonts w:ascii="Times New Roman" w:hAnsi="Times New Roman" w:cs="Times New Roman"/>
                <w:sz w:val="20"/>
                <w:szCs w:val="20"/>
              </w:rPr>
              <w:t>)</w:t>
            </w:r>
            <w:r w:rsidRPr="00F009B6">
              <w:rPr>
                <w:rFonts w:ascii="Times New Roman" w:hAnsi="Times New Roman" w:cs="Times New Roman"/>
                <w:sz w:val="20"/>
                <w:szCs w:val="20"/>
                <w:vertAlign w:val="superscript"/>
              </w:rPr>
              <w:t>***</w:t>
            </w:r>
          </w:p>
        </w:tc>
        <w:tc>
          <w:tcPr>
            <w:tcW w:w="1325" w:type="pct"/>
            <w:tcMar>
              <w:top w:w="100" w:type="nil"/>
              <w:right w:w="100" w:type="nil"/>
            </w:tcMar>
          </w:tcPr>
          <w:p w:rsidR="00517C19" w:rsidRPr="00F009B6"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w:t>
            </w:r>
            <w:r>
              <w:rPr>
                <w:rFonts w:ascii="Times New Roman" w:hAnsi="Times New Roman" w:cs="Times New Roman"/>
                <w:sz w:val="20"/>
                <w:szCs w:val="20"/>
              </w:rPr>
              <w:t>24</w:t>
            </w:r>
            <w:r>
              <w:rPr>
                <w:rFonts w:ascii="Times New Roman" w:hAnsi="Times New Roman" w:cs="Times New Roman"/>
                <w:color w:val="808080" w:themeColor="background1" w:themeShade="80"/>
                <w:sz w:val="20"/>
                <w:szCs w:val="20"/>
              </w:rPr>
              <w:t>%</w:t>
            </w:r>
            <w:r w:rsidRPr="00F009B6">
              <w:rPr>
                <w:rFonts w:ascii="Times New Roman" w:hAnsi="Times New Roman" w:cs="Times New Roman"/>
                <w:sz w:val="20"/>
                <w:szCs w:val="20"/>
              </w:rPr>
              <w:t xml:space="preserve"> (</w:t>
            </w:r>
            <w:r>
              <w:rPr>
                <w:rFonts w:ascii="Times New Roman" w:hAnsi="Times New Roman" w:cs="Times New Roman"/>
                <w:sz w:val="20"/>
                <w:szCs w:val="20"/>
              </w:rPr>
              <w:t>19</w:t>
            </w:r>
            <w:r w:rsidRPr="00F009B6">
              <w:rPr>
                <w:rFonts w:ascii="Times New Roman" w:hAnsi="Times New Roman" w:cs="Times New Roman"/>
                <w:sz w:val="20"/>
                <w:szCs w:val="20"/>
              </w:rPr>
              <w:t>,</w:t>
            </w:r>
            <w:r>
              <w:rPr>
                <w:rFonts w:ascii="Times New Roman" w:hAnsi="Times New Roman" w:cs="Times New Roman"/>
                <w:sz w:val="20"/>
                <w:szCs w:val="20"/>
              </w:rPr>
              <w:t>28</w:t>
            </w:r>
            <w:r w:rsidRPr="00F009B6">
              <w:rPr>
                <w:rFonts w:ascii="Times New Roman" w:hAnsi="Times New Roman" w:cs="Times New Roman"/>
                <w:sz w:val="20"/>
                <w:szCs w:val="20"/>
              </w:rPr>
              <w:t>)</w:t>
            </w:r>
            <w:r w:rsidRPr="00F009B6">
              <w:rPr>
                <w:rFonts w:ascii="Times New Roman" w:hAnsi="Times New Roman" w:cs="Times New Roman"/>
                <w:sz w:val="20"/>
                <w:szCs w:val="20"/>
                <w:vertAlign w:val="superscript"/>
              </w:rPr>
              <w:t>***</w:t>
            </w:r>
          </w:p>
        </w:tc>
      </w:tr>
      <w:tr w:rsidR="00517C19" w:rsidRPr="00F009B6" w:rsidTr="006D4221">
        <w:tc>
          <w:tcPr>
            <w:tcW w:w="1184" w:type="pct"/>
            <w:tcMar>
              <w:top w:w="100" w:type="nil"/>
              <w:right w:w="100" w:type="nil"/>
            </w:tcMar>
          </w:tcPr>
          <w:p w:rsidR="00517C19" w:rsidRPr="00F009B6" w:rsidDel="00877152"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 xml:space="preserve">       -Pneumonia </w:t>
            </w:r>
          </w:p>
        </w:tc>
        <w:tc>
          <w:tcPr>
            <w:tcW w:w="1183" w:type="pct"/>
            <w:tcMar>
              <w:top w:w="100" w:type="nil"/>
              <w:right w:w="100" w:type="nil"/>
            </w:tcMar>
          </w:tcPr>
          <w:p w:rsidR="00517C19" w:rsidRPr="00F009B6" w:rsidDel="00877152"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w:t>
            </w:r>
            <w:r>
              <w:rPr>
                <w:rFonts w:ascii="Times New Roman" w:hAnsi="Times New Roman" w:cs="Times New Roman"/>
                <w:sz w:val="20"/>
                <w:szCs w:val="20"/>
              </w:rPr>
              <w:t>14</w:t>
            </w:r>
            <w:r>
              <w:rPr>
                <w:rFonts w:ascii="Times New Roman" w:hAnsi="Times New Roman" w:cs="Times New Roman"/>
                <w:color w:val="808080" w:themeColor="background1" w:themeShade="80"/>
                <w:sz w:val="20"/>
                <w:szCs w:val="20"/>
              </w:rPr>
              <w:t>%</w:t>
            </w:r>
            <w:r w:rsidRPr="00F009B6">
              <w:rPr>
                <w:rFonts w:ascii="Times New Roman" w:hAnsi="Times New Roman" w:cs="Times New Roman"/>
                <w:sz w:val="20"/>
                <w:szCs w:val="20"/>
              </w:rPr>
              <w:t xml:space="preserve"> (</w:t>
            </w:r>
            <w:r>
              <w:rPr>
                <w:rFonts w:ascii="Times New Roman" w:hAnsi="Times New Roman" w:cs="Times New Roman"/>
                <w:sz w:val="20"/>
                <w:szCs w:val="20"/>
              </w:rPr>
              <w:t>9,20</w:t>
            </w:r>
            <w:r w:rsidRPr="00F009B6">
              <w:rPr>
                <w:rFonts w:ascii="Times New Roman" w:hAnsi="Times New Roman" w:cs="Times New Roman"/>
                <w:sz w:val="20"/>
                <w:szCs w:val="20"/>
              </w:rPr>
              <w:t>)</w:t>
            </w:r>
            <w:r w:rsidRPr="00F009B6">
              <w:rPr>
                <w:rFonts w:ascii="Times New Roman" w:hAnsi="Times New Roman" w:cs="Times New Roman"/>
                <w:sz w:val="20"/>
                <w:szCs w:val="20"/>
                <w:vertAlign w:val="superscript"/>
              </w:rPr>
              <w:t>***</w:t>
            </w:r>
          </w:p>
        </w:tc>
        <w:tc>
          <w:tcPr>
            <w:tcW w:w="1308" w:type="pct"/>
            <w:tcMar>
              <w:top w:w="100" w:type="nil"/>
              <w:right w:w="100" w:type="nil"/>
            </w:tcMar>
          </w:tcPr>
          <w:p w:rsidR="00517C19" w:rsidRPr="00F009B6" w:rsidDel="00877152"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w:t>
            </w:r>
            <w:r>
              <w:rPr>
                <w:rFonts w:ascii="Times New Roman" w:hAnsi="Times New Roman" w:cs="Times New Roman"/>
                <w:sz w:val="20"/>
                <w:szCs w:val="20"/>
              </w:rPr>
              <w:t>27</w:t>
            </w:r>
            <w:r>
              <w:rPr>
                <w:rFonts w:ascii="Times New Roman" w:hAnsi="Times New Roman" w:cs="Times New Roman"/>
                <w:color w:val="808080" w:themeColor="background1" w:themeShade="80"/>
                <w:sz w:val="20"/>
                <w:szCs w:val="20"/>
              </w:rPr>
              <w:t>%</w:t>
            </w:r>
            <w:r w:rsidRPr="00F009B6">
              <w:rPr>
                <w:rFonts w:ascii="Times New Roman" w:hAnsi="Times New Roman" w:cs="Times New Roman"/>
                <w:sz w:val="20"/>
                <w:szCs w:val="20"/>
              </w:rPr>
              <w:t xml:space="preserve"> (</w:t>
            </w:r>
            <w:r>
              <w:rPr>
                <w:rFonts w:ascii="Times New Roman" w:hAnsi="Times New Roman" w:cs="Times New Roman"/>
                <w:sz w:val="20"/>
                <w:szCs w:val="20"/>
              </w:rPr>
              <w:t>19,36</w:t>
            </w:r>
            <w:r w:rsidRPr="00F009B6">
              <w:rPr>
                <w:rFonts w:ascii="Times New Roman" w:hAnsi="Times New Roman" w:cs="Times New Roman"/>
                <w:sz w:val="20"/>
                <w:szCs w:val="20"/>
              </w:rPr>
              <w:t>)</w:t>
            </w:r>
            <w:r w:rsidRPr="00F009B6">
              <w:rPr>
                <w:rFonts w:ascii="Times New Roman" w:hAnsi="Times New Roman" w:cs="Times New Roman"/>
                <w:sz w:val="20"/>
                <w:szCs w:val="20"/>
                <w:vertAlign w:val="superscript"/>
              </w:rPr>
              <w:t>***</w:t>
            </w:r>
          </w:p>
        </w:tc>
        <w:tc>
          <w:tcPr>
            <w:tcW w:w="1325" w:type="pct"/>
            <w:tcMar>
              <w:top w:w="100" w:type="nil"/>
              <w:right w:w="100" w:type="nil"/>
            </w:tcMar>
          </w:tcPr>
          <w:p w:rsidR="00517C19" w:rsidRPr="00F009B6" w:rsidDel="00877152"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w:t>
            </w:r>
            <w:r>
              <w:rPr>
                <w:rFonts w:ascii="Times New Roman" w:hAnsi="Times New Roman" w:cs="Times New Roman"/>
                <w:sz w:val="20"/>
                <w:szCs w:val="20"/>
              </w:rPr>
              <w:t>31</w:t>
            </w:r>
            <w:r>
              <w:rPr>
                <w:rFonts w:ascii="Times New Roman" w:hAnsi="Times New Roman" w:cs="Times New Roman"/>
                <w:color w:val="808080" w:themeColor="background1" w:themeShade="80"/>
                <w:sz w:val="20"/>
                <w:szCs w:val="20"/>
              </w:rPr>
              <w:t>%</w:t>
            </w:r>
            <w:r w:rsidRPr="00F009B6">
              <w:rPr>
                <w:rFonts w:ascii="Times New Roman" w:hAnsi="Times New Roman" w:cs="Times New Roman"/>
                <w:sz w:val="20"/>
                <w:szCs w:val="20"/>
              </w:rPr>
              <w:t xml:space="preserve"> (</w:t>
            </w:r>
            <w:r>
              <w:rPr>
                <w:rFonts w:ascii="Times New Roman" w:hAnsi="Times New Roman" w:cs="Times New Roman"/>
                <w:sz w:val="20"/>
                <w:szCs w:val="20"/>
              </w:rPr>
              <w:t>23</w:t>
            </w:r>
            <w:r w:rsidRPr="00F009B6">
              <w:rPr>
                <w:rFonts w:ascii="Times New Roman" w:hAnsi="Times New Roman" w:cs="Times New Roman"/>
                <w:sz w:val="20"/>
                <w:szCs w:val="20"/>
              </w:rPr>
              <w:t>,</w:t>
            </w:r>
            <w:r>
              <w:rPr>
                <w:rFonts w:ascii="Times New Roman" w:hAnsi="Times New Roman" w:cs="Times New Roman"/>
                <w:sz w:val="20"/>
                <w:szCs w:val="20"/>
              </w:rPr>
              <w:t>38</w:t>
            </w:r>
            <w:r w:rsidRPr="00F009B6">
              <w:rPr>
                <w:rFonts w:ascii="Times New Roman" w:hAnsi="Times New Roman" w:cs="Times New Roman"/>
                <w:sz w:val="20"/>
                <w:szCs w:val="20"/>
              </w:rPr>
              <w:t>)</w:t>
            </w:r>
            <w:r w:rsidRPr="00F009B6">
              <w:rPr>
                <w:rFonts w:ascii="Times New Roman" w:hAnsi="Times New Roman" w:cs="Times New Roman"/>
                <w:sz w:val="20"/>
                <w:szCs w:val="20"/>
                <w:vertAlign w:val="superscript"/>
              </w:rPr>
              <w:t>***</w:t>
            </w:r>
          </w:p>
        </w:tc>
      </w:tr>
      <w:tr w:rsidR="00517C19" w:rsidRPr="00F009B6" w:rsidTr="006D4221">
        <w:tc>
          <w:tcPr>
            <w:tcW w:w="1184" w:type="pct"/>
            <w:tcMar>
              <w:top w:w="100" w:type="nil"/>
              <w:right w:w="100" w:type="nil"/>
            </w:tcMar>
          </w:tcPr>
          <w:p w:rsidR="00517C19" w:rsidRPr="00F009B6" w:rsidDel="00877152"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 xml:space="preserve">       -MHSA: Schizophrenia </w:t>
            </w:r>
          </w:p>
        </w:tc>
        <w:tc>
          <w:tcPr>
            <w:tcW w:w="1183" w:type="pct"/>
            <w:tcMar>
              <w:top w:w="100" w:type="nil"/>
              <w:right w:w="100" w:type="nil"/>
            </w:tcMar>
          </w:tcPr>
          <w:p w:rsidR="00517C19" w:rsidRPr="00F009B6" w:rsidDel="00877152"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w:t>
            </w:r>
            <w:r>
              <w:rPr>
                <w:rFonts w:ascii="Times New Roman" w:hAnsi="Times New Roman" w:cs="Times New Roman"/>
                <w:sz w:val="20"/>
                <w:szCs w:val="20"/>
              </w:rPr>
              <w:t>9</w:t>
            </w:r>
            <w:r>
              <w:rPr>
                <w:rFonts w:ascii="Times New Roman" w:hAnsi="Times New Roman" w:cs="Times New Roman"/>
                <w:color w:val="808080" w:themeColor="background1" w:themeShade="80"/>
                <w:sz w:val="20"/>
                <w:szCs w:val="20"/>
              </w:rPr>
              <w:t>%</w:t>
            </w:r>
            <w:r w:rsidRPr="00F009B6">
              <w:rPr>
                <w:rFonts w:ascii="Times New Roman" w:hAnsi="Times New Roman" w:cs="Times New Roman"/>
                <w:sz w:val="20"/>
                <w:szCs w:val="20"/>
              </w:rPr>
              <w:t xml:space="preserve"> (-</w:t>
            </w:r>
            <w:r>
              <w:rPr>
                <w:rFonts w:ascii="Times New Roman" w:hAnsi="Times New Roman" w:cs="Times New Roman"/>
                <w:sz w:val="20"/>
                <w:szCs w:val="20"/>
              </w:rPr>
              <w:t>0.1,17</w:t>
            </w:r>
            <w:r w:rsidRPr="00F009B6">
              <w:rPr>
                <w:rFonts w:ascii="Times New Roman" w:hAnsi="Times New Roman" w:cs="Times New Roman"/>
                <w:sz w:val="20"/>
                <w:szCs w:val="20"/>
              </w:rPr>
              <w:t>)</w:t>
            </w:r>
          </w:p>
        </w:tc>
        <w:tc>
          <w:tcPr>
            <w:tcW w:w="1308" w:type="pct"/>
            <w:tcMar>
              <w:top w:w="100" w:type="nil"/>
              <w:right w:w="100" w:type="nil"/>
            </w:tcMar>
          </w:tcPr>
          <w:p w:rsidR="00517C19" w:rsidRPr="00F009B6" w:rsidDel="00877152"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w:t>
            </w:r>
            <w:r>
              <w:rPr>
                <w:rFonts w:ascii="Times New Roman" w:hAnsi="Times New Roman" w:cs="Times New Roman"/>
                <w:sz w:val="20"/>
                <w:szCs w:val="20"/>
              </w:rPr>
              <w:t>4</w:t>
            </w:r>
            <w:r>
              <w:rPr>
                <w:rFonts w:ascii="Times New Roman" w:hAnsi="Times New Roman" w:cs="Times New Roman"/>
                <w:color w:val="808080" w:themeColor="background1" w:themeShade="80"/>
                <w:sz w:val="20"/>
                <w:szCs w:val="20"/>
              </w:rPr>
              <w:t>%</w:t>
            </w:r>
            <w:r w:rsidRPr="00F009B6">
              <w:rPr>
                <w:rFonts w:ascii="Times New Roman" w:hAnsi="Times New Roman" w:cs="Times New Roman"/>
                <w:sz w:val="20"/>
                <w:szCs w:val="20"/>
              </w:rPr>
              <w:t xml:space="preserve"> (-</w:t>
            </w:r>
            <w:r>
              <w:rPr>
                <w:rFonts w:ascii="Times New Roman" w:hAnsi="Times New Roman" w:cs="Times New Roman"/>
                <w:sz w:val="20"/>
                <w:szCs w:val="20"/>
              </w:rPr>
              <w:t>4,11</w:t>
            </w:r>
            <w:r w:rsidRPr="00F009B6">
              <w:rPr>
                <w:rFonts w:ascii="Times New Roman" w:hAnsi="Times New Roman" w:cs="Times New Roman"/>
                <w:sz w:val="20"/>
                <w:szCs w:val="20"/>
              </w:rPr>
              <w:t>)</w:t>
            </w:r>
          </w:p>
        </w:tc>
        <w:tc>
          <w:tcPr>
            <w:tcW w:w="1325" w:type="pct"/>
            <w:tcMar>
              <w:top w:w="100" w:type="nil"/>
              <w:right w:w="100" w:type="nil"/>
            </w:tcMar>
          </w:tcPr>
          <w:p w:rsidR="00517C19" w:rsidRPr="00F009B6" w:rsidDel="00877152"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w:t>
            </w:r>
            <w:r>
              <w:rPr>
                <w:rFonts w:ascii="Times New Roman" w:hAnsi="Times New Roman" w:cs="Times New Roman"/>
                <w:sz w:val="20"/>
                <w:szCs w:val="20"/>
              </w:rPr>
              <w:t>5</w:t>
            </w:r>
            <w:r>
              <w:rPr>
                <w:rFonts w:ascii="Times New Roman" w:hAnsi="Times New Roman" w:cs="Times New Roman"/>
                <w:color w:val="808080" w:themeColor="background1" w:themeShade="80"/>
                <w:sz w:val="20"/>
                <w:szCs w:val="20"/>
              </w:rPr>
              <w:t>%</w:t>
            </w:r>
            <w:r w:rsidRPr="00F009B6">
              <w:rPr>
                <w:rFonts w:ascii="Times New Roman" w:hAnsi="Times New Roman" w:cs="Times New Roman"/>
                <w:sz w:val="20"/>
                <w:szCs w:val="20"/>
              </w:rPr>
              <w:t xml:space="preserve"> (-</w:t>
            </w:r>
            <w:r>
              <w:rPr>
                <w:rFonts w:ascii="Times New Roman" w:hAnsi="Times New Roman" w:cs="Times New Roman"/>
                <w:sz w:val="20"/>
                <w:szCs w:val="20"/>
              </w:rPr>
              <w:t>4</w:t>
            </w:r>
            <w:r w:rsidRPr="00F009B6">
              <w:rPr>
                <w:rFonts w:ascii="Times New Roman" w:hAnsi="Times New Roman" w:cs="Times New Roman"/>
                <w:sz w:val="20"/>
                <w:szCs w:val="20"/>
              </w:rPr>
              <w:t>,</w:t>
            </w:r>
            <w:r>
              <w:rPr>
                <w:rFonts w:ascii="Times New Roman" w:hAnsi="Times New Roman" w:cs="Times New Roman"/>
                <w:sz w:val="20"/>
                <w:szCs w:val="20"/>
              </w:rPr>
              <w:t>13</w:t>
            </w:r>
            <w:r w:rsidRPr="00F009B6">
              <w:rPr>
                <w:rFonts w:ascii="Times New Roman" w:hAnsi="Times New Roman" w:cs="Times New Roman"/>
                <w:sz w:val="20"/>
                <w:szCs w:val="20"/>
              </w:rPr>
              <w:t>)</w:t>
            </w:r>
          </w:p>
        </w:tc>
      </w:tr>
      <w:tr w:rsidR="00517C19" w:rsidRPr="00F009B6" w:rsidTr="006D4221">
        <w:tc>
          <w:tcPr>
            <w:tcW w:w="1184" w:type="pct"/>
            <w:tcMar>
              <w:top w:w="100" w:type="nil"/>
              <w:right w:w="100" w:type="nil"/>
            </w:tcMar>
          </w:tcPr>
          <w:p w:rsidR="00517C19" w:rsidRPr="00F009B6" w:rsidDel="00877152"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 xml:space="preserve">       -Epilepsy, convulsions </w:t>
            </w:r>
          </w:p>
        </w:tc>
        <w:tc>
          <w:tcPr>
            <w:tcW w:w="1183" w:type="pct"/>
            <w:tcMar>
              <w:top w:w="100" w:type="nil"/>
              <w:right w:w="100" w:type="nil"/>
            </w:tcMar>
          </w:tcPr>
          <w:p w:rsidR="00517C19" w:rsidRPr="00F009B6" w:rsidDel="00877152"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w:t>
            </w:r>
            <w:r>
              <w:rPr>
                <w:rFonts w:ascii="Times New Roman" w:hAnsi="Times New Roman" w:cs="Times New Roman"/>
                <w:sz w:val="20"/>
                <w:szCs w:val="20"/>
              </w:rPr>
              <w:t>8</w:t>
            </w:r>
            <w:r>
              <w:rPr>
                <w:rFonts w:ascii="Times New Roman" w:hAnsi="Times New Roman" w:cs="Times New Roman"/>
                <w:color w:val="808080" w:themeColor="background1" w:themeShade="80"/>
                <w:sz w:val="20"/>
                <w:szCs w:val="20"/>
              </w:rPr>
              <w:t>%</w:t>
            </w:r>
            <w:r w:rsidRPr="00F009B6">
              <w:rPr>
                <w:rFonts w:ascii="Times New Roman" w:hAnsi="Times New Roman" w:cs="Times New Roman"/>
                <w:sz w:val="20"/>
                <w:szCs w:val="20"/>
              </w:rPr>
              <w:t xml:space="preserve"> (</w:t>
            </w:r>
            <w:r>
              <w:rPr>
                <w:rFonts w:ascii="Times New Roman" w:hAnsi="Times New Roman" w:cs="Times New Roman"/>
                <w:sz w:val="20"/>
                <w:szCs w:val="20"/>
              </w:rPr>
              <w:t>0.6,15</w:t>
            </w:r>
            <w:r w:rsidRPr="00F009B6">
              <w:rPr>
                <w:rFonts w:ascii="Times New Roman" w:hAnsi="Times New Roman" w:cs="Times New Roman"/>
                <w:sz w:val="20"/>
                <w:szCs w:val="20"/>
              </w:rPr>
              <w:t>)</w:t>
            </w:r>
            <w:r w:rsidRPr="00F009B6">
              <w:rPr>
                <w:rFonts w:ascii="Times New Roman" w:hAnsi="Times New Roman" w:cs="Times New Roman"/>
                <w:sz w:val="20"/>
                <w:szCs w:val="20"/>
                <w:vertAlign w:val="superscript"/>
              </w:rPr>
              <w:t>*</w:t>
            </w:r>
          </w:p>
        </w:tc>
        <w:tc>
          <w:tcPr>
            <w:tcW w:w="1308" w:type="pct"/>
            <w:tcMar>
              <w:top w:w="100" w:type="nil"/>
              <w:right w:w="100" w:type="nil"/>
            </w:tcMar>
          </w:tcPr>
          <w:p w:rsidR="00517C19" w:rsidRPr="00F009B6" w:rsidDel="00877152"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w:t>
            </w:r>
            <w:r>
              <w:rPr>
                <w:rFonts w:ascii="Times New Roman" w:hAnsi="Times New Roman" w:cs="Times New Roman"/>
                <w:sz w:val="20"/>
                <w:szCs w:val="20"/>
              </w:rPr>
              <w:t>6</w:t>
            </w:r>
            <w:r>
              <w:rPr>
                <w:rFonts w:ascii="Times New Roman" w:hAnsi="Times New Roman" w:cs="Times New Roman"/>
                <w:color w:val="808080" w:themeColor="background1" w:themeShade="80"/>
                <w:sz w:val="20"/>
                <w:szCs w:val="20"/>
              </w:rPr>
              <w:t>%</w:t>
            </w:r>
            <w:r w:rsidRPr="00F009B6">
              <w:rPr>
                <w:rFonts w:ascii="Times New Roman" w:hAnsi="Times New Roman" w:cs="Times New Roman"/>
                <w:sz w:val="20"/>
                <w:szCs w:val="20"/>
              </w:rPr>
              <w:t xml:space="preserve"> (-</w:t>
            </w:r>
            <w:r>
              <w:rPr>
                <w:rFonts w:ascii="Times New Roman" w:hAnsi="Times New Roman" w:cs="Times New Roman"/>
                <w:sz w:val="20"/>
                <w:szCs w:val="20"/>
              </w:rPr>
              <w:t>3,15</w:t>
            </w:r>
            <w:r w:rsidRPr="00F009B6">
              <w:rPr>
                <w:rFonts w:ascii="Times New Roman" w:hAnsi="Times New Roman" w:cs="Times New Roman"/>
                <w:sz w:val="20"/>
                <w:szCs w:val="20"/>
              </w:rPr>
              <w:t>)</w:t>
            </w:r>
          </w:p>
        </w:tc>
        <w:tc>
          <w:tcPr>
            <w:tcW w:w="1325" w:type="pct"/>
            <w:tcMar>
              <w:top w:w="100" w:type="nil"/>
              <w:right w:w="100" w:type="nil"/>
            </w:tcMar>
          </w:tcPr>
          <w:p w:rsidR="00517C19" w:rsidRPr="00F009B6" w:rsidDel="00877152"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w:t>
            </w:r>
            <w:r>
              <w:rPr>
                <w:rFonts w:ascii="Times New Roman" w:hAnsi="Times New Roman" w:cs="Times New Roman"/>
                <w:sz w:val="20"/>
                <w:szCs w:val="20"/>
              </w:rPr>
              <w:t>8</w:t>
            </w:r>
            <w:r>
              <w:rPr>
                <w:rFonts w:ascii="Times New Roman" w:hAnsi="Times New Roman" w:cs="Times New Roman"/>
                <w:color w:val="808080" w:themeColor="background1" w:themeShade="80"/>
                <w:sz w:val="20"/>
                <w:szCs w:val="20"/>
              </w:rPr>
              <w:t>%</w:t>
            </w:r>
            <w:r w:rsidRPr="00F009B6">
              <w:rPr>
                <w:rFonts w:ascii="Times New Roman" w:hAnsi="Times New Roman" w:cs="Times New Roman"/>
                <w:sz w:val="20"/>
                <w:szCs w:val="20"/>
              </w:rPr>
              <w:t xml:space="preserve"> (-</w:t>
            </w:r>
            <w:r>
              <w:rPr>
                <w:rFonts w:ascii="Times New Roman" w:hAnsi="Times New Roman" w:cs="Times New Roman"/>
                <w:sz w:val="20"/>
                <w:szCs w:val="20"/>
              </w:rPr>
              <w:t>1</w:t>
            </w:r>
            <w:r w:rsidRPr="00F009B6">
              <w:rPr>
                <w:rFonts w:ascii="Times New Roman" w:hAnsi="Times New Roman" w:cs="Times New Roman"/>
                <w:sz w:val="20"/>
                <w:szCs w:val="20"/>
              </w:rPr>
              <w:t>,</w:t>
            </w:r>
            <w:r>
              <w:rPr>
                <w:rFonts w:ascii="Times New Roman" w:hAnsi="Times New Roman" w:cs="Times New Roman"/>
                <w:sz w:val="20"/>
                <w:szCs w:val="20"/>
              </w:rPr>
              <w:t>16</w:t>
            </w:r>
            <w:r w:rsidRPr="00F009B6">
              <w:rPr>
                <w:rFonts w:ascii="Times New Roman" w:hAnsi="Times New Roman" w:cs="Times New Roman"/>
                <w:sz w:val="20"/>
                <w:szCs w:val="20"/>
              </w:rPr>
              <w:t>)</w:t>
            </w:r>
          </w:p>
        </w:tc>
      </w:tr>
      <w:tr w:rsidR="00517C19" w:rsidRPr="00F009B6" w:rsidTr="006D4221">
        <w:tc>
          <w:tcPr>
            <w:tcW w:w="1184" w:type="pct"/>
            <w:tcMar>
              <w:top w:w="100" w:type="nil"/>
              <w:right w:w="100" w:type="nil"/>
            </w:tcMar>
          </w:tcPr>
          <w:p w:rsidR="00517C19" w:rsidRPr="00F009B6" w:rsidDel="00877152"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 xml:space="preserve">       -Pancreatic disorders </w:t>
            </w:r>
          </w:p>
        </w:tc>
        <w:tc>
          <w:tcPr>
            <w:tcW w:w="1183" w:type="pct"/>
            <w:tcMar>
              <w:top w:w="100" w:type="nil"/>
              <w:right w:w="100" w:type="nil"/>
            </w:tcMar>
          </w:tcPr>
          <w:p w:rsidR="00517C19" w:rsidRPr="00F009B6" w:rsidDel="00877152"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w:t>
            </w:r>
            <w:r>
              <w:rPr>
                <w:rFonts w:ascii="Times New Roman" w:hAnsi="Times New Roman" w:cs="Times New Roman"/>
                <w:sz w:val="20"/>
                <w:szCs w:val="20"/>
              </w:rPr>
              <w:t>8</w:t>
            </w:r>
            <w:r>
              <w:rPr>
                <w:rFonts w:ascii="Times New Roman" w:hAnsi="Times New Roman" w:cs="Times New Roman"/>
                <w:color w:val="808080" w:themeColor="background1" w:themeShade="80"/>
                <w:sz w:val="20"/>
                <w:szCs w:val="20"/>
              </w:rPr>
              <w:t>%</w:t>
            </w:r>
            <w:r w:rsidRPr="00F009B6">
              <w:rPr>
                <w:rFonts w:ascii="Times New Roman" w:hAnsi="Times New Roman" w:cs="Times New Roman"/>
                <w:sz w:val="20"/>
                <w:szCs w:val="20"/>
              </w:rPr>
              <w:t xml:space="preserve"> (</w:t>
            </w:r>
            <w:r>
              <w:rPr>
                <w:rFonts w:ascii="Times New Roman" w:hAnsi="Times New Roman" w:cs="Times New Roman"/>
                <w:sz w:val="20"/>
                <w:szCs w:val="20"/>
              </w:rPr>
              <w:t>2,14</w:t>
            </w:r>
            <w:r w:rsidRPr="00F009B6">
              <w:rPr>
                <w:rFonts w:ascii="Times New Roman" w:hAnsi="Times New Roman" w:cs="Times New Roman"/>
                <w:sz w:val="20"/>
                <w:szCs w:val="20"/>
              </w:rPr>
              <w:t>)</w:t>
            </w:r>
            <w:r w:rsidRPr="00F009B6">
              <w:rPr>
                <w:rFonts w:ascii="Times New Roman" w:hAnsi="Times New Roman" w:cs="Times New Roman"/>
                <w:sz w:val="20"/>
                <w:szCs w:val="20"/>
                <w:vertAlign w:val="superscript"/>
              </w:rPr>
              <w:t>*</w:t>
            </w:r>
          </w:p>
        </w:tc>
        <w:tc>
          <w:tcPr>
            <w:tcW w:w="1308" w:type="pct"/>
            <w:tcMar>
              <w:top w:w="100" w:type="nil"/>
              <w:right w:w="100" w:type="nil"/>
            </w:tcMar>
          </w:tcPr>
          <w:p w:rsidR="00517C19" w:rsidRPr="00F009B6" w:rsidDel="00877152"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w:t>
            </w:r>
            <w:r>
              <w:rPr>
                <w:rFonts w:ascii="Times New Roman" w:hAnsi="Times New Roman" w:cs="Times New Roman"/>
                <w:sz w:val="20"/>
                <w:szCs w:val="20"/>
              </w:rPr>
              <w:t>14</w:t>
            </w:r>
            <w:r>
              <w:rPr>
                <w:rFonts w:ascii="Times New Roman" w:hAnsi="Times New Roman" w:cs="Times New Roman"/>
                <w:color w:val="808080" w:themeColor="background1" w:themeShade="80"/>
                <w:sz w:val="20"/>
                <w:szCs w:val="20"/>
              </w:rPr>
              <w:t>%</w:t>
            </w:r>
            <w:r w:rsidRPr="00F009B6">
              <w:rPr>
                <w:rFonts w:ascii="Times New Roman" w:hAnsi="Times New Roman" w:cs="Times New Roman"/>
                <w:sz w:val="20"/>
                <w:szCs w:val="20"/>
              </w:rPr>
              <w:t xml:space="preserve"> (</w:t>
            </w:r>
            <w:r>
              <w:rPr>
                <w:rFonts w:ascii="Times New Roman" w:hAnsi="Times New Roman" w:cs="Times New Roman"/>
                <w:sz w:val="20"/>
                <w:szCs w:val="20"/>
              </w:rPr>
              <w:t>7,21</w:t>
            </w:r>
            <w:r w:rsidRPr="00F009B6">
              <w:rPr>
                <w:rFonts w:ascii="Times New Roman" w:hAnsi="Times New Roman" w:cs="Times New Roman"/>
                <w:sz w:val="20"/>
                <w:szCs w:val="20"/>
              </w:rPr>
              <w:t>)</w:t>
            </w:r>
            <w:r w:rsidRPr="00F009B6">
              <w:rPr>
                <w:rFonts w:ascii="Times New Roman" w:hAnsi="Times New Roman" w:cs="Times New Roman"/>
                <w:sz w:val="20"/>
                <w:szCs w:val="20"/>
                <w:vertAlign w:val="superscript"/>
              </w:rPr>
              <w:t>***</w:t>
            </w:r>
          </w:p>
        </w:tc>
        <w:tc>
          <w:tcPr>
            <w:tcW w:w="1325" w:type="pct"/>
            <w:tcMar>
              <w:top w:w="100" w:type="nil"/>
              <w:right w:w="100" w:type="nil"/>
            </w:tcMar>
          </w:tcPr>
          <w:p w:rsidR="00517C19" w:rsidRPr="00F009B6" w:rsidDel="00877152"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w:t>
            </w:r>
            <w:r>
              <w:rPr>
                <w:rFonts w:ascii="Times New Roman" w:hAnsi="Times New Roman" w:cs="Times New Roman"/>
                <w:sz w:val="20"/>
                <w:szCs w:val="20"/>
              </w:rPr>
              <w:t>14</w:t>
            </w:r>
            <w:r>
              <w:rPr>
                <w:rFonts w:ascii="Times New Roman" w:hAnsi="Times New Roman" w:cs="Times New Roman"/>
                <w:color w:val="808080" w:themeColor="background1" w:themeShade="80"/>
                <w:sz w:val="20"/>
                <w:szCs w:val="20"/>
              </w:rPr>
              <w:t>%</w:t>
            </w:r>
            <w:r w:rsidRPr="00F009B6">
              <w:rPr>
                <w:rFonts w:ascii="Times New Roman" w:hAnsi="Times New Roman" w:cs="Times New Roman"/>
                <w:sz w:val="20"/>
                <w:szCs w:val="20"/>
              </w:rPr>
              <w:t xml:space="preserve"> (</w:t>
            </w:r>
            <w:r>
              <w:rPr>
                <w:rFonts w:ascii="Times New Roman" w:hAnsi="Times New Roman" w:cs="Times New Roman"/>
                <w:sz w:val="20"/>
                <w:szCs w:val="20"/>
              </w:rPr>
              <w:t>7</w:t>
            </w:r>
            <w:r w:rsidRPr="00F009B6">
              <w:rPr>
                <w:rFonts w:ascii="Times New Roman" w:hAnsi="Times New Roman" w:cs="Times New Roman"/>
                <w:sz w:val="20"/>
                <w:szCs w:val="20"/>
              </w:rPr>
              <w:t>,</w:t>
            </w:r>
            <w:r>
              <w:rPr>
                <w:rFonts w:ascii="Times New Roman" w:hAnsi="Times New Roman" w:cs="Times New Roman"/>
                <w:sz w:val="20"/>
                <w:szCs w:val="20"/>
              </w:rPr>
              <w:t>21</w:t>
            </w:r>
            <w:r w:rsidRPr="00F009B6">
              <w:rPr>
                <w:rFonts w:ascii="Times New Roman" w:hAnsi="Times New Roman" w:cs="Times New Roman"/>
                <w:sz w:val="20"/>
                <w:szCs w:val="20"/>
              </w:rPr>
              <w:t>)</w:t>
            </w:r>
            <w:r w:rsidRPr="00F009B6">
              <w:rPr>
                <w:rFonts w:ascii="Times New Roman" w:hAnsi="Times New Roman" w:cs="Times New Roman"/>
                <w:sz w:val="20"/>
                <w:szCs w:val="20"/>
                <w:vertAlign w:val="superscript"/>
              </w:rPr>
              <w:t>***</w:t>
            </w:r>
          </w:p>
        </w:tc>
      </w:tr>
      <w:tr w:rsidR="00517C19" w:rsidRPr="00F009B6" w:rsidTr="006D4221">
        <w:tc>
          <w:tcPr>
            <w:tcW w:w="1184" w:type="pct"/>
            <w:tcMar>
              <w:top w:w="100" w:type="nil"/>
              <w:right w:w="100" w:type="nil"/>
            </w:tcMar>
          </w:tcPr>
          <w:p w:rsidR="00517C19" w:rsidRPr="00F009B6" w:rsidDel="00877152"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 xml:space="preserve">       -Other bone disease </w:t>
            </w:r>
          </w:p>
        </w:tc>
        <w:tc>
          <w:tcPr>
            <w:tcW w:w="1183" w:type="pct"/>
            <w:tcMar>
              <w:top w:w="100" w:type="nil"/>
              <w:right w:w="100" w:type="nil"/>
            </w:tcMar>
          </w:tcPr>
          <w:p w:rsidR="00517C19" w:rsidRPr="00F009B6" w:rsidDel="00877152"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w:t>
            </w:r>
            <w:r>
              <w:rPr>
                <w:rFonts w:ascii="Times New Roman" w:hAnsi="Times New Roman" w:cs="Times New Roman"/>
                <w:sz w:val="20"/>
                <w:szCs w:val="20"/>
              </w:rPr>
              <w:t>20</w:t>
            </w:r>
            <w:r>
              <w:rPr>
                <w:rFonts w:ascii="Times New Roman" w:hAnsi="Times New Roman" w:cs="Times New Roman"/>
                <w:color w:val="808080" w:themeColor="background1" w:themeShade="80"/>
                <w:sz w:val="20"/>
                <w:szCs w:val="20"/>
              </w:rPr>
              <w:t>%</w:t>
            </w:r>
            <w:r w:rsidRPr="00F009B6">
              <w:rPr>
                <w:rFonts w:ascii="Times New Roman" w:hAnsi="Times New Roman" w:cs="Times New Roman"/>
                <w:sz w:val="20"/>
                <w:szCs w:val="20"/>
              </w:rPr>
              <w:t xml:space="preserve"> (-</w:t>
            </w:r>
            <w:r>
              <w:rPr>
                <w:rFonts w:ascii="Times New Roman" w:hAnsi="Times New Roman" w:cs="Times New Roman"/>
                <w:sz w:val="20"/>
                <w:szCs w:val="20"/>
              </w:rPr>
              <w:t>26,-14</w:t>
            </w:r>
            <w:r w:rsidRPr="00F009B6">
              <w:rPr>
                <w:rFonts w:ascii="Times New Roman" w:hAnsi="Times New Roman" w:cs="Times New Roman"/>
                <w:sz w:val="20"/>
                <w:szCs w:val="20"/>
              </w:rPr>
              <w:t>)</w:t>
            </w:r>
            <w:r w:rsidRPr="00F009B6">
              <w:rPr>
                <w:rFonts w:ascii="Times New Roman" w:hAnsi="Times New Roman" w:cs="Times New Roman"/>
                <w:sz w:val="20"/>
                <w:szCs w:val="20"/>
                <w:vertAlign w:val="superscript"/>
              </w:rPr>
              <w:t>***</w:t>
            </w:r>
          </w:p>
        </w:tc>
        <w:tc>
          <w:tcPr>
            <w:tcW w:w="1308" w:type="pct"/>
            <w:tcMar>
              <w:top w:w="100" w:type="nil"/>
              <w:right w:w="100" w:type="nil"/>
            </w:tcMar>
          </w:tcPr>
          <w:p w:rsidR="00517C19" w:rsidRPr="00F009B6" w:rsidDel="00877152"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w:t>
            </w:r>
            <w:r>
              <w:rPr>
                <w:rFonts w:ascii="Times New Roman" w:hAnsi="Times New Roman" w:cs="Times New Roman"/>
                <w:sz w:val="20"/>
                <w:szCs w:val="20"/>
              </w:rPr>
              <w:t>41</w:t>
            </w:r>
            <w:r>
              <w:rPr>
                <w:rFonts w:ascii="Times New Roman" w:hAnsi="Times New Roman" w:cs="Times New Roman"/>
                <w:color w:val="808080" w:themeColor="background1" w:themeShade="80"/>
                <w:sz w:val="20"/>
                <w:szCs w:val="20"/>
              </w:rPr>
              <w:t>%</w:t>
            </w:r>
            <w:r w:rsidRPr="00F009B6">
              <w:rPr>
                <w:rFonts w:ascii="Times New Roman" w:hAnsi="Times New Roman" w:cs="Times New Roman"/>
                <w:sz w:val="20"/>
                <w:szCs w:val="20"/>
              </w:rPr>
              <w:t xml:space="preserve"> (-</w:t>
            </w:r>
            <w:r>
              <w:rPr>
                <w:rFonts w:ascii="Times New Roman" w:hAnsi="Times New Roman" w:cs="Times New Roman"/>
                <w:sz w:val="20"/>
                <w:szCs w:val="20"/>
              </w:rPr>
              <w:t>48,35</w:t>
            </w:r>
            <w:r w:rsidRPr="00F009B6">
              <w:rPr>
                <w:rFonts w:ascii="Times New Roman" w:hAnsi="Times New Roman" w:cs="Times New Roman"/>
                <w:sz w:val="20"/>
                <w:szCs w:val="20"/>
              </w:rPr>
              <w:t>)</w:t>
            </w:r>
            <w:r w:rsidRPr="00F009B6">
              <w:rPr>
                <w:rFonts w:ascii="Times New Roman" w:hAnsi="Times New Roman" w:cs="Times New Roman"/>
                <w:sz w:val="20"/>
                <w:szCs w:val="20"/>
                <w:vertAlign w:val="superscript"/>
              </w:rPr>
              <w:t>***</w:t>
            </w:r>
          </w:p>
        </w:tc>
        <w:tc>
          <w:tcPr>
            <w:tcW w:w="1325" w:type="pct"/>
            <w:tcMar>
              <w:top w:w="100" w:type="nil"/>
              <w:right w:w="100" w:type="nil"/>
            </w:tcMar>
          </w:tcPr>
          <w:p w:rsidR="00517C19" w:rsidRPr="00F009B6" w:rsidDel="00877152"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w:t>
            </w:r>
            <w:r>
              <w:rPr>
                <w:rFonts w:ascii="Times New Roman" w:hAnsi="Times New Roman" w:cs="Times New Roman"/>
                <w:sz w:val="20"/>
                <w:szCs w:val="20"/>
              </w:rPr>
              <w:t>39</w:t>
            </w:r>
            <w:r>
              <w:rPr>
                <w:rFonts w:ascii="Times New Roman" w:hAnsi="Times New Roman" w:cs="Times New Roman"/>
                <w:color w:val="808080" w:themeColor="background1" w:themeShade="80"/>
                <w:sz w:val="20"/>
                <w:szCs w:val="20"/>
              </w:rPr>
              <w:t>%</w:t>
            </w:r>
            <w:r w:rsidRPr="00F009B6">
              <w:rPr>
                <w:rFonts w:ascii="Times New Roman" w:hAnsi="Times New Roman" w:cs="Times New Roman"/>
                <w:sz w:val="20"/>
                <w:szCs w:val="20"/>
              </w:rPr>
              <w:t xml:space="preserve"> (-</w:t>
            </w:r>
            <w:r>
              <w:rPr>
                <w:rFonts w:ascii="Times New Roman" w:hAnsi="Times New Roman" w:cs="Times New Roman"/>
                <w:sz w:val="20"/>
                <w:szCs w:val="20"/>
              </w:rPr>
              <w:t>45</w:t>
            </w:r>
            <w:r w:rsidRPr="00F009B6">
              <w:rPr>
                <w:rFonts w:ascii="Times New Roman" w:hAnsi="Times New Roman" w:cs="Times New Roman"/>
                <w:sz w:val="20"/>
                <w:szCs w:val="20"/>
              </w:rPr>
              <w:t>,-</w:t>
            </w:r>
            <w:r>
              <w:rPr>
                <w:rFonts w:ascii="Times New Roman" w:hAnsi="Times New Roman" w:cs="Times New Roman"/>
                <w:sz w:val="20"/>
                <w:szCs w:val="20"/>
              </w:rPr>
              <w:t>33</w:t>
            </w:r>
            <w:r w:rsidRPr="00F009B6">
              <w:rPr>
                <w:rFonts w:ascii="Times New Roman" w:hAnsi="Times New Roman" w:cs="Times New Roman"/>
                <w:sz w:val="20"/>
                <w:szCs w:val="20"/>
              </w:rPr>
              <w:t>)</w:t>
            </w:r>
            <w:r w:rsidRPr="00F009B6">
              <w:rPr>
                <w:rFonts w:ascii="Times New Roman" w:hAnsi="Times New Roman" w:cs="Times New Roman"/>
                <w:sz w:val="20"/>
                <w:szCs w:val="20"/>
                <w:vertAlign w:val="superscript"/>
              </w:rPr>
              <w:t>***</w:t>
            </w:r>
          </w:p>
        </w:tc>
      </w:tr>
      <w:tr w:rsidR="00517C19" w:rsidRPr="00F009B6" w:rsidTr="006D4221">
        <w:tc>
          <w:tcPr>
            <w:tcW w:w="1184" w:type="pct"/>
            <w:tcMar>
              <w:top w:w="100" w:type="nil"/>
              <w:right w:w="100" w:type="nil"/>
            </w:tcMar>
          </w:tcPr>
          <w:p w:rsidR="00517C19" w:rsidRPr="00F009B6"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 xml:space="preserve">       -Other nervous system disorders</w:t>
            </w:r>
          </w:p>
        </w:tc>
        <w:tc>
          <w:tcPr>
            <w:tcW w:w="1183" w:type="pct"/>
            <w:tcMar>
              <w:top w:w="100" w:type="nil"/>
              <w:right w:w="100" w:type="nil"/>
            </w:tcMar>
          </w:tcPr>
          <w:p w:rsidR="00517C19" w:rsidRPr="00F009B6"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w:t>
            </w:r>
            <w:r>
              <w:rPr>
                <w:rFonts w:ascii="Times New Roman" w:hAnsi="Times New Roman" w:cs="Times New Roman"/>
                <w:sz w:val="20"/>
                <w:szCs w:val="20"/>
              </w:rPr>
              <w:t>2</w:t>
            </w:r>
            <w:r>
              <w:rPr>
                <w:rFonts w:ascii="Times New Roman" w:hAnsi="Times New Roman" w:cs="Times New Roman"/>
                <w:color w:val="808080" w:themeColor="background1" w:themeShade="80"/>
                <w:sz w:val="20"/>
                <w:szCs w:val="20"/>
              </w:rPr>
              <w:t>%</w:t>
            </w:r>
            <w:r w:rsidRPr="00F009B6">
              <w:rPr>
                <w:rFonts w:ascii="Times New Roman" w:hAnsi="Times New Roman" w:cs="Times New Roman"/>
                <w:sz w:val="20"/>
                <w:szCs w:val="20"/>
              </w:rPr>
              <w:t xml:space="preserve"> (-</w:t>
            </w:r>
            <w:r>
              <w:rPr>
                <w:rFonts w:ascii="Times New Roman" w:hAnsi="Times New Roman" w:cs="Times New Roman"/>
                <w:sz w:val="20"/>
                <w:szCs w:val="20"/>
              </w:rPr>
              <w:t>11,7</w:t>
            </w:r>
            <w:r w:rsidRPr="00F009B6">
              <w:rPr>
                <w:rFonts w:ascii="Times New Roman" w:hAnsi="Times New Roman" w:cs="Times New Roman"/>
                <w:sz w:val="20"/>
                <w:szCs w:val="20"/>
              </w:rPr>
              <w:t>)</w:t>
            </w:r>
          </w:p>
        </w:tc>
        <w:tc>
          <w:tcPr>
            <w:tcW w:w="1308" w:type="pct"/>
            <w:tcMar>
              <w:top w:w="100" w:type="nil"/>
              <w:right w:w="100" w:type="nil"/>
            </w:tcMar>
          </w:tcPr>
          <w:p w:rsidR="00517C19" w:rsidRPr="00F009B6"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w:t>
            </w:r>
            <w:r>
              <w:rPr>
                <w:rFonts w:ascii="Times New Roman" w:hAnsi="Times New Roman" w:cs="Times New Roman"/>
                <w:sz w:val="20"/>
                <w:szCs w:val="20"/>
              </w:rPr>
              <w:t>15</w:t>
            </w:r>
            <w:r>
              <w:rPr>
                <w:rFonts w:ascii="Times New Roman" w:hAnsi="Times New Roman" w:cs="Times New Roman"/>
                <w:color w:val="808080" w:themeColor="background1" w:themeShade="80"/>
                <w:sz w:val="20"/>
                <w:szCs w:val="20"/>
              </w:rPr>
              <w:t>%</w:t>
            </w:r>
            <w:r w:rsidRPr="00F009B6">
              <w:rPr>
                <w:rFonts w:ascii="Times New Roman" w:hAnsi="Times New Roman" w:cs="Times New Roman"/>
                <w:sz w:val="20"/>
                <w:szCs w:val="20"/>
              </w:rPr>
              <w:t xml:space="preserve"> (-</w:t>
            </w:r>
            <w:r>
              <w:rPr>
                <w:rFonts w:ascii="Times New Roman" w:hAnsi="Times New Roman" w:cs="Times New Roman"/>
                <w:sz w:val="20"/>
                <w:szCs w:val="20"/>
              </w:rPr>
              <w:t>24</w:t>
            </w:r>
            <w:r w:rsidRPr="00F009B6">
              <w:rPr>
                <w:rFonts w:ascii="Times New Roman" w:hAnsi="Times New Roman" w:cs="Times New Roman"/>
                <w:sz w:val="20"/>
                <w:szCs w:val="20"/>
              </w:rPr>
              <w:t>,-</w:t>
            </w:r>
            <w:r>
              <w:rPr>
                <w:rFonts w:ascii="Times New Roman" w:hAnsi="Times New Roman" w:cs="Times New Roman"/>
                <w:sz w:val="20"/>
                <w:szCs w:val="20"/>
              </w:rPr>
              <w:t>7</w:t>
            </w:r>
            <w:r w:rsidRPr="00F009B6">
              <w:rPr>
                <w:rFonts w:ascii="Times New Roman" w:hAnsi="Times New Roman" w:cs="Times New Roman"/>
                <w:sz w:val="20"/>
                <w:szCs w:val="20"/>
              </w:rPr>
              <w:t>)</w:t>
            </w:r>
            <w:r w:rsidRPr="00F009B6">
              <w:rPr>
                <w:rFonts w:ascii="Times New Roman" w:hAnsi="Times New Roman" w:cs="Times New Roman"/>
                <w:sz w:val="20"/>
                <w:szCs w:val="20"/>
                <w:vertAlign w:val="superscript"/>
              </w:rPr>
              <w:t>***</w:t>
            </w:r>
          </w:p>
        </w:tc>
        <w:tc>
          <w:tcPr>
            <w:tcW w:w="1325" w:type="pct"/>
            <w:tcMar>
              <w:top w:w="100" w:type="nil"/>
              <w:right w:w="100" w:type="nil"/>
            </w:tcMar>
          </w:tcPr>
          <w:p w:rsidR="00517C19" w:rsidRPr="00F009B6"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w:t>
            </w:r>
            <w:r>
              <w:rPr>
                <w:rFonts w:ascii="Times New Roman" w:hAnsi="Times New Roman" w:cs="Times New Roman"/>
                <w:sz w:val="20"/>
                <w:szCs w:val="20"/>
              </w:rPr>
              <w:t>12</w:t>
            </w:r>
            <w:r>
              <w:rPr>
                <w:rFonts w:ascii="Times New Roman" w:hAnsi="Times New Roman" w:cs="Times New Roman"/>
                <w:color w:val="808080" w:themeColor="background1" w:themeShade="80"/>
                <w:sz w:val="20"/>
                <w:szCs w:val="20"/>
              </w:rPr>
              <w:t>%</w:t>
            </w:r>
            <w:r w:rsidRPr="00F009B6">
              <w:rPr>
                <w:rFonts w:ascii="Times New Roman" w:hAnsi="Times New Roman" w:cs="Times New Roman"/>
                <w:sz w:val="20"/>
                <w:szCs w:val="20"/>
              </w:rPr>
              <w:t xml:space="preserve"> (-</w:t>
            </w:r>
            <w:r>
              <w:rPr>
                <w:rFonts w:ascii="Times New Roman" w:hAnsi="Times New Roman" w:cs="Times New Roman"/>
                <w:sz w:val="20"/>
                <w:szCs w:val="20"/>
              </w:rPr>
              <w:t>20</w:t>
            </w:r>
            <w:r w:rsidRPr="00F009B6">
              <w:rPr>
                <w:rFonts w:ascii="Times New Roman" w:hAnsi="Times New Roman" w:cs="Times New Roman"/>
                <w:sz w:val="20"/>
                <w:szCs w:val="20"/>
              </w:rPr>
              <w:t>,-</w:t>
            </w:r>
            <w:r>
              <w:rPr>
                <w:rFonts w:ascii="Times New Roman" w:hAnsi="Times New Roman" w:cs="Times New Roman"/>
                <w:sz w:val="20"/>
                <w:szCs w:val="20"/>
              </w:rPr>
              <w:t>4</w:t>
            </w:r>
            <w:r w:rsidRPr="00F009B6">
              <w:rPr>
                <w:rFonts w:ascii="Times New Roman" w:hAnsi="Times New Roman" w:cs="Times New Roman"/>
                <w:sz w:val="20"/>
                <w:szCs w:val="20"/>
              </w:rPr>
              <w:t>)</w:t>
            </w:r>
            <w:r w:rsidRPr="00F009B6">
              <w:rPr>
                <w:rFonts w:ascii="Times New Roman" w:hAnsi="Times New Roman" w:cs="Times New Roman"/>
                <w:sz w:val="20"/>
                <w:szCs w:val="20"/>
                <w:vertAlign w:val="superscript"/>
              </w:rPr>
              <w:t>**</w:t>
            </w:r>
          </w:p>
        </w:tc>
      </w:tr>
      <w:tr w:rsidR="00517C19" w:rsidRPr="00F009B6" w:rsidTr="006D4221">
        <w:tc>
          <w:tcPr>
            <w:tcW w:w="1184" w:type="pct"/>
            <w:tcMar>
              <w:top w:w="100" w:type="nil"/>
              <w:right w:w="100" w:type="nil"/>
            </w:tcMar>
          </w:tcPr>
          <w:p w:rsidR="00517C19" w:rsidRPr="00F009B6" w:rsidDel="00877152"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 xml:space="preserve">       -Fracture of lower limb </w:t>
            </w:r>
          </w:p>
        </w:tc>
        <w:tc>
          <w:tcPr>
            <w:tcW w:w="1183" w:type="pct"/>
            <w:tcMar>
              <w:top w:w="100" w:type="nil"/>
              <w:right w:w="100" w:type="nil"/>
            </w:tcMar>
          </w:tcPr>
          <w:p w:rsidR="00517C19" w:rsidRPr="00F009B6" w:rsidDel="00877152"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w:t>
            </w:r>
            <w:r>
              <w:rPr>
                <w:rFonts w:ascii="Times New Roman" w:hAnsi="Times New Roman" w:cs="Times New Roman"/>
                <w:sz w:val="20"/>
                <w:szCs w:val="20"/>
              </w:rPr>
              <w:t>26</w:t>
            </w:r>
            <w:r>
              <w:rPr>
                <w:rFonts w:ascii="Times New Roman" w:hAnsi="Times New Roman" w:cs="Times New Roman"/>
                <w:color w:val="808080" w:themeColor="background1" w:themeShade="80"/>
                <w:sz w:val="20"/>
                <w:szCs w:val="20"/>
              </w:rPr>
              <w:t>%</w:t>
            </w:r>
            <w:r w:rsidRPr="00F009B6">
              <w:rPr>
                <w:rFonts w:ascii="Times New Roman" w:hAnsi="Times New Roman" w:cs="Times New Roman"/>
                <w:sz w:val="20"/>
                <w:szCs w:val="20"/>
              </w:rPr>
              <w:t xml:space="preserve"> (</w:t>
            </w:r>
            <w:r>
              <w:rPr>
                <w:rFonts w:ascii="Times New Roman" w:hAnsi="Times New Roman" w:cs="Times New Roman"/>
                <w:sz w:val="20"/>
                <w:szCs w:val="20"/>
              </w:rPr>
              <w:t>19,33</w:t>
            </w:r>
            <w:r w:rsidRPr="00F009B6">
              <w:rPr>
                <w:rFonts w:ascii="Times New Roman" w:hAnsi="Times New Roman" w:cs="Times New Roman"/>
                <w:sz w:val="20"/>
                <w:szCs w:val="20"/>
              </w:rPr>
              <w:t>)</w:t>
            </w:r>
            <w:r w:rsidRPr="00F009B6">
              <w:rPr>
                <w:rFonts w:ascii="Times New Roman" w:hAnsi="Times New Roman" w:cs="Times New Roman"/>
                <w:sz w:val="20"/>
                <w:szCs w:val="20"/>
                <w:vertAlign w:val="superscript"/>
              </w:rPr>
              <w:t>***</w:t>
            </w:r>
          </w:p>
        </w:tc>
        <w:tc>
          <w:tcPr>
            <w:tcW w:w="1308" w:type="pct"/>
            <w:tcMar>
              <w:top w:w="100" w:type="nil"/>
              <w:right w:w="100" w:type="nil"/>
            </w:tcMar>
          </w:tcPr>
          <w:p w:rsidR="00517C19" w:rsidRPr="00F009B6" w:rsidDel="00877152"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w:t>
            </w:r>
            <w:r>
              <w:rPr>
                <w:rFonts w:ascii="Times New Roman" w:hAnsi="Times New Roman" w:cs="Times New Roman"/>
                <w:sz w:val="20"/>
                <w:szCs w:val="20"/>
              </w:rPr>
              <w:t>14%</w:t>
            </w:r>
            <w:r w:rsidRPr="00F009B6">
              <w:rPr>
                <w:rFonts w:ascii="Times New Roman" w:hAnsi="Times New Roman" w:cs="Times New Roman"/>
                <w:sz w:val="20"/>
                <w:szCs w:val="20"/>
              </w:rPr>
              <w:t xml:space="preserve"> (</w:t>
            </w:r>
            <w:r>
              <w:rPr>
                <w:rFonts w:ascii="Times New Roman" w:hAnsi="Times New Roman" w:cs="Times New Roman"/>
                <w:sz w:val="20"/>
                <w:szCs w:val="20"/>
              </w:rPr>
              <w:t>7,21</w:t>
            </w:r>
            <w:r w:rsidRPr="00F009B6">
              <w:rPr>
                <w:rFonts w:ascii="Times New Roman" w:hAnsi="Times New Roman" w:cs="Times New Roman"/>
                <w:sz w:val="20"/>
                <w:szCs w:val="20"/>
              </w:rPr>
              <w:t>)</w:t>
            </w:r>
            <w:r w:rsidRPr="00F009B6">
              <w:rPr>
                <w:rFonts w:ascii="Times New Roman" w:hAnsi="Times New Roman" w:cs="Times New Roman"/>
                <w:sz w:val="20"/>
                <w:szCs w:val="20"/>
                <w:vertAlign w:val="superscript"/>
              </w:rPr>
              <w:t>***</w:t>
            </w:r>
          </w:p>
        </w:tc>
        <w:tc>
          <w:tcPr>
            <w:tcW w:w="1325" w:type="pct"/>
            <w:tcMar>
              <w:top w:w="100" w:type="nil"/>
              <w:right w:w="100" w:type="nil"/>
            </w:tcMar>
          </w:tcPr>
          <w:p w:rsidR="00517C19" w:rsidRPr="00F009B6" w:rsidDel="00877152"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w:t>
            </w:r>
            <w:r>
              <w:rPr>
                <w:rFonts w:ascii="Times New Roman" w:hAnsi="Times New Roman" w:cs="Times New Roman"/>
                <w:sz w:val="20"/>
                <w:szCs w:val="20"/>
              </w:rPr>
              <w:t>17</w:t>
            </w:r>
            <w:r>
              <w:rPr>
                <w:rFonts w:ascii="Times New Roman" w:hAnsi="Times New Roman" w:cs="Times New Roman"/>
                <w:color w:val="808080" w:themeColor="background1" w:themeShade="80"/>
                <w:sz w:val="20"/>
                <w:szCs w:val="20"/>
              </w:rPr>
              <w:t>%</w:t>
            </w:r>
            <w:r w:rsidRPr="00F009B6">
              <w:rPr>
                <w:rFonts w:ascii="Times New Roman" w:hAnsi="Times New Roman" w:cs="Times New Roman"/>
                <w:sz w:val="20"/>
                <w:szCs w:val="20"/>
              </w:rPr>
              <w:t xml:space="preserve"> (</w:t>
            </w:r>
            <w:r>
              <w:rPr>
                <w:rFonts w:ascii="Times New Roman" w:hAnsi="Times New Roman" w:cs="Times New Roman"/>
                <w:sz w:val="20"/>
                <w:szCs w:val="20"/>
              </w:rPr>
              <w:t>11</w:t>
            </w:r>
            <w:r w:rsidRPr="00F009B6">
              <w:rPr>
                <w:rFonts w:ascii="Times New Roman" w:hAnsi="Times New Roman" w:cs="Times New Roman"/>
                <w:sz w:val="20"/>
                <w:szCs w:val="20"/>
              </w:rPr>
              <w:t>,</w:t>
            </w:r>
            <w:r>
              <w:rPr>
                <w:rFonts w:ascii="Times New Roman" w:hAnsi="Times New Roman" w:cs="Times New Roman"/>
                <w:sz w:val="20"/>
                <w:szCs w:val="20"/>
              </w:rPr>
              <w:t>23</w:t>
            </w:r>
            <w:r w:rsidRPr="00F009B6">
              <w:rPr>
                <w:rFonts w:ascii="Times New Roman" w:hAnsi="Times New Roman" w:cs="Times New Roman"/>
                <w:sz w:val="20"/>
                <w:szCs w:val="20"/>
              </w:rPr>
              <w:t>)</w:t>
            </w:r>
            <w:r w:rsidRPr="00F009B6">
              <w:rPr>
                <w:rFonts w:ascii="Times New Roman" w:hAnsi="Times New Roman" w:cs="Times New Roman"/>
                <w:sz w:val="20"/>
                <w:szCs w:val="20"/>
                <w:vertAlign w:val="superscript"/>
              </w:rPr>
              <w:t>***</w:t>
            </w:r>
          </w:p>
        </w:tc>
      </w:tr>
      <w:tr w:rsidR="00517C19" w:rsidRPr="00F009B6" w:rsidTr="006D4221">
        <w:trPr>
          <w:trHeight w:val="206"/>
        </w:trPr>
        <w:tc>
          <w:tcPr>
            <w:tcW w:w="1184" w:type="pct"/>
            <w:tcBorders>
              <w:top w:val="single" w:sz="4" w:space="0" w:color="auto"/>
              <w:bottom w:val="single" w:sz="4" w:space="0" w:color="auto"/>
            </w:tcBorders>
            <w:tcMar>
              <w:top w:w="100" w:type="nil"/>
              <w:right w:w="100" w:type="nil"/>
            </w:tcMar>
            <w:vAlign w:val="center"/>
          </w:tcPr>
          <w:p w:rsidR="00517C19" w:rsidRPr="00F009B6"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Observations</w:t>
            </w:r>
          </w:p>
        </w:tc>
        <w:tc>
          <w:tcPr>
            <w:tcW w:w="1183" w:type="pct"/>
            <w:tcBorders>
              <w:top w:val="single" w:sz="4" w:space="0" w:color="auto"/>
              <w:bottom w:val="single" w:sz="4" w:space="0" w:color="auto"/>
            </w:tcBorders>
            <w:tcMar>
              <w:top w:w="100" w:type="nil"/>
              <w:right w:w="100" w:type="nil"/>
            </w:tcMar>
            <w:vAlign w:val="center"/>
          </w:tcPr>
          <w:p w:rsidR="00517C19" w:rsidRPr="00F009B6"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4041963</w:t>
            </w:r>
          </w:p>
        </w:tc>
        <w:tc>
          <w:tcPr>
            <w:tcW w:w="1308" w:type="pct"/>
            <w:tcBorders>
              <w:top w:val="single" w:sz="4" w:space="0" w:color="auto"/>
              <w:bottom w:val="single" w:sz="4" w:space="0" w:color="auto"/>
            </w:tcBorders>
            <w:tcMar>
              <w:top w:w="100" w:type="nil"/>
              <w:right w:w="100" w:type="nil"/>
            </w:tcMar>
            <w:vAlign w:val="center"/>
          </w:tcPr>
          <w:p w:rsidR="00517C19" w:rsidRPr="00F009B6"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3975469</w:t>
            </w:r>
          </w:p>
        </w:tc>
        <w:tc>
          <w:tcPr>
            <w:tcW w:w="1325" w:type="pct"/>
            <w:tcBorders>
              <w:top w:val="single" w:sz="4" w:space="0" w:color="auto"/>
              <w:bottom w:val="single" w:sz="4" w:space="0" w:color="auto"/>
            </w:tcBorders>
            <w:tcMar>
              <w:top w:w="100" w:type="nil"/>
              <w:right w:w="100" w:type="nil"/>
            </w:tcMar>
            <w:vAlign w:val="center"/>
          </w:tcPr>
          <w:p w:rsidR="00517C19" w:rsidRPr="00F009B6" w:rsidRDefault="00517C19" w:rsidP="006D4221">
            <w:pPr>
              <w:autoSpaceDE w:val="0"/>
              <w:autoSpaceDN w:val="0"/>
              <w:adjustRightInd w:val="0"/>
              <w:spacing w:after="0" w:line="240" w:lineRule="auto"/>
              <w:rPr>
                <w:rFonts w:ascii="Times New Roman" w:hAnsi="Times New Roman" w:cs="Times New Roman"/>
                <w:sz w:val="20"/>
                <w:szCs w:val="20"/>
              </w:rPr>
            </w:pPr>
            <w:r w:rsidRPr="00F009B6">
              <w:rPr>
                <w:rFonts w:ascii="Times New Roman" w:hAnsi="Times New Roman" w:cs="Times New Roman"/>
                <w:sz w:val="20"/>
                <w:szCs w:val="20"/>
              </w:rPr>
              <w:t>3903598</w:t>
            </w:r>
          </w:p>
        </w:tc>
      </w:tr>
    </w:tbl>
    <w:p w:rsidR="00517C19" w:rsidRPr="00DB1E78" w:rsidRDefault="00517C19" w:rsidP="00517C19">
      <w:pPr>
        <w:spacing w:after="0"/>
        <w:rPr>
          <w:rFonts w:ascii="Times New Roman" w:hAnsi="Times New Roman" w:cs="Times New Roman"/>
          <w:sz w:val="18"/>
          <w:szCs w:val="18"/>
        </w:rPr>
      </w:pPr>
      <w:r w:rsidRPr="00DB1E78">
        <w:rPr>
          <w:rFonts w:ascii="Times New Roman" w:hAnsi="Times New Roman" w:cs="Times New Roman"/>
          <w:sz w:val="18"/>
          <w:szCs w:val="18"/>
        </w:rPr>
        <w:t>SOURCE: Authors’ analysis of data from the National Inpatient Sample (NIS), 2006-2016.</w:t>
      </w:r>
    </w:p>
    <w:p w:rsidR="00517C19" w:rsidRPr="00E42828" w:rsidRDefault="00517C19" w:rsidP="00517C1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NOTES</w:t>
      </w:r>
      <w:r w:rsidRPr="00E42828">
        <w:rPr>
          <w:rFonts w:ascii="Times New Roman" w:hAnsi="Times New Roman" w:cs="Times New Roman"/>
          <w:sz w:val="18"/>
          <w:szCs w:val="18"/>
        </w:rPr>
        <w:t xml:space="preserve">: </w:t>
      </w:r>
      <w:r>
        <w:rPr>
          <w:rFonts w:ascii="Times New Roman" w:hAnsi="Times New Roman" w:cs="Times New Roman"/>
          <w:sz w:val="18"/>
          <w:szCs w:val="18"/>
        </w:rPr>
        <w:t xml:space="preserve">CI is confidence interval.             </w:t>
      </w:r>
      <w:r w:rsidRPr="00E42828">
        <w:rPr>
          <w:rFonts w:ascii="Times New Roman" w:hAnsi="Times New Roman" w:cs="Times New Roman"/>
          <w:sz w:val="18"/>
          <w:szCs w:val="18"/>
          <w:vertAlign w:val="superscript"/>
        </w:rPr>
        <w:t>*</w:t>
      </w:r>
      <w:r w:rsidRPr="00E42828">
        <w:rPr>
          <w:rFonts w:ascii="Times New Roman" w:hAnsi="Times New Roman" w:cs="Times New Roman"/>
          <w:sz w:val="18"/>
          <w:szCs w:val="18"/>
        </w:rPr>
        <w:t xml:space="preserve"> </w:t>
      </w:r>
      <w:r w:rsidRPr="00E42828">
        <w:rPr>
          <w:rFonts w:ascii="Times New Roman" w:hAnsi="Times New Roman" w:cs="Times New Roman"/>
          <w:i/>
          <w:iCs/>
          <w:sz w:val="18"/>
          <w:szCs w:val="18"/>
        </w:rPr>
        <w:t>p</w:t>
      </w:r>
      <w:r w:rsidRPr="00E42828">
        <w:rPr>
          <w:rFonts w:ascii="Times New Roman" w:hAnsi="Times New Roman" w:cs="Times New Roman"/>
          <w:sz w:val="18"/>
          <w:szCs w:val="18"/>
        </w:rPr>
        <w:t xml:space="preserve"> &lt; 0.05, </w:t>
      </w:r>
      <w:r w:rsidRPr="00E42828">
        <w:rPr>
          <w:rFonts w:ascii="Times New Roman" w:hAnsi="Times New Roman" w:cs="Times New Roman"/>
          <w:sz w:val="18"/>
          <w:szCs w:val="18"/>
          <w:vertAlign w:val="superscript"/>
        </w:rPr>
        <w:t>**</w:t>
      </w:r>
      <w:r w:rsidRPr="00E42828">
        <w:rPr>
          <w:rFonts w:ascii="Times New Roman" w:hAnsi="Times New Roman" w:cs="Times New Roman"/>
          <w:sz w:val="18"/>
          <w:szCs w:val="18"/>
        </w:rPr>
        <w:t xml:space="preserve"> </w:t>
      </w:r>
      <w:r w:rsidRPr="00E42828">
        <w:rPr>
          <w:rFonts w:ascii="Times New Roman" w:hAnsi="Times New Roman" w:cs="Times New Roman"/>
          <w:i/>
          <w:iCs/>
          <w:sz w:val="18"/>
          <w:szCs w:val="18"/>
        </w:rPr>
        <w:t>p</w:t>
      </w:r>
      <w:r w:rsidRPr="00E42828">
        <w:rPr>
          <w:rFonts w:ascii="Times New Roman" w:hAnsi="Times New Roman" w:cs="Times New Roman"/>
          <w:sz w:val="18"/>
          <w:szCs w:val="18"/>
        </w:rPr>
        <w:t xml:space="preserve"> &lt; 0.01, </w:t>
      </w:r>
      <w:r w:rsidRPr="00E42828">
        <w:rPr>
          <w:rFonts w:ascii="Times New Roman" w:hAnsi="Times New Roman" w:cs="Times New Roman"/>
          <w:sz w:val="18"/>
          <w:szCs w:val="18"/>
          <w:vertAlign w:val="superscript"/>
        </w:rPr>
        <w:t>***</w:t>
      </w:r>
      <w:r w:rsidRPr="00E42828">
        <w:rPr>
          <w:rFonts w:ascii="Times New Roman" w:hAnsi="Times New Roman" w:cs="Times New Roman"/>
          <w:sz w:val="18"/>
          <w:szCs w:val="18"/>
        </w:rPr>
        <w:t xml:space="preserve"> </w:t>
      </w:r>
      <w:r w:rsidRPr="00E42828">
        <w:rPr>
          <w:rFonts w:ascii="Times New Roman" w:hAnsi="Times New Roman" w:cs="Times New Roman"/>
          <w:i/>
          <w:iCs/>
          <w:sz w:val="18"/>
          <w:szCs w:val="18"/>
        </w:rPr>
        <w:t>p</w:t>
      </w:r>
      <w:r w:rsidRPr="00E42828">
        <w:rPr>
          <w:rFonts w:ascii="Times New Roman" w:hAnsi="Times New Roman" w:cs="Times New Roman"/>
          <w:sz w:val="18"/>
          <w:szCs w:val="18"/>
        </w:rPr>
        <w:t xml:space="preserve"> &lt; 0.001</w:t>
      </w:r>
      <w:r>
        <w:rPr>
          <w:rFonts w:ascii="Times New Roman" w:hAnsi="Times New Roman" w:cs="Times New Roman"/>
          <w:sz w:val="18"/>
          <w:szCs w:val="18"/>
        </w:rPr>
        <w:t xml:space="preserve">  (</w:t>
      </w:r>
      <w:proofErr w:type="spellStart"/>
      <w:r>
        <w:rPr>
          <w:rFonts w:ascii="Times New Roman" w:hAnsi="Times New Roman" w:cs="Times New Roman"/>
          <w:sz w:val="18"/>
          <w:szCs w:val="18"/>
        </w:rPr>
        <w:t>stat.difference</w:t>
      </w:r>
      <w:proofErr w:type="spellEnd"/>
      <w:r>
        <w:rPr>
          <w:rFonts w:ascii="Times New Roman" w:hAnsi="Times New Roman" w:cs="Times New Roman"/>
          <w:sz w:val="18"/>
          <w:szCs w:val="18"/>
        </w:rPr>
        <w:t xml:space="preserve"> from zero)            </w:t>
      </w:r>
      <w:r w:rsidRPr="00F009B6">
        <w:rPr>
          <w:rFonts w:ascii="Times New Roman" w:hAnsi="Times New Roman" w:cs="Times New Roman"/>
          <w:sz w:val="18"/>
          <w:szCs w:val="18"/>
          <w:vertAlign w:val="superscript"/>
        </w:rPr>
        <w:t xml:space="preserve">^ </w:t>
      </w:r>
      <w:r w:rsidRPr="00E42828">
        <w:rPr>
          <w:rFonts w:ascii="Times New Roman" w:hAnsi="Times New Roman" w:cs="Times New Roman"/>
          <w:i/>
          <w:iCs/>
          <w:sz w:val="18"/>
          <w:szCs w:val="18"/>
        </w:rPr>
        <w:t>p</w:t>
      </w:r>
      <w:r w:rsidRPr="00E42828">
        <w:rPr>
          <w:rFonts w:ascii="Times New Roman" w:hAnsi="Times New Roman" w:cs="Times New Roman"/>
          <w:sz w:val="18"/>
          <w:szCs w:val="18"/>
        </w:rPr>
        <w:t xml:space="preserve"> &lt; 0.05, </w:t>
      </w:r>
      <w:r w:rsidRPr="00F009B6">
        <w:rPr>
          <w:rFonts w:ascii="Times New Roman" w:hAnsi="Times New Roman" w:cs="Times New Roman"/>
          <w:sz w:val="18"/>
          <w:szCs w:val="18"/>
          <w:vertAlign w:val="superscript"/>
        </w:rPr>
        <w:t xml:space="preserve">^^ </w:t>
      </w:r>
      <w:r w:rsidRPr="00E42828">
        <w:rPr>
          <w:rFonts w:ascii="Times New Roman" w:hAnsi="Times New Roman" w:cs="Times New Roman"/>
          <w:i/>
          <w:iCs/>
          <w:sz w:val="18"/>
          <w:szCs w:val="18"/>
        </w:rPr>
        <w:t>p</w:t>
      </w:r>
      <w:r w:rsidRPr="00E42828">
        <w:rPr>
          <w:rFonts w:ascii="Times New Roman" w:hAnsi="Times New Roman" w:cs="Times New Roman"/>
          <w:sz w:val="18"/>
          <w:szCs w:val="18"/>
        </w:rPr>
        <w:t xml:space="preserve"> &lt; 0.01, </w:t>
      </w:r>
      <w:r w:rsidRPr="00F009B6">
        <w:rPr>
          <w:rFonts w:ascii="Times New Roman" w:hAnsi="Times New Roman" w:cs="Times New Roman"/>
          <w:sz w:val="18"/>
          <w:szCs w:val="18"/>
          <w:vertAlign w:val="superscript"/>
        </w:rPr>
        <w:t>^^^</w:t>
      </w:r>
      <w:r w:rsidRPr="00E42828">
        <w:rPr>
          <w:rFonts w:ascii="Times New Roman" w:hAnsi="Times New Roman" w:cs="Times New Roman"/>
          <w:sz w:val="18"/>
          <w:szCs w:val="18"/>
        </w:rPr>
        <w:t xml:space="preserve"> </w:t>
      </w:r>
      <w:r w:rsidRPr="00E42828">
        <w:rPr>
          <w:rFonts w:ascii="Times New Roman" w:hAnsi="Times New Roman" w:cs="Times New Roman"/>
          <w:i/>
          <w:iCs/>
          <w:sz w:val="18"/>
          <w:szCs w:val="18"/>
        </w:rPr>
        <w:t>p</w:t>
      </w:r>
      <w:r w:rsidRPr="00E42828">
        <w:rPr>
          <w:rFonts w:ascii="Times New Roman" w:hAnsi="Times New Roman" w:cs="Times New Roman"/>
          <w:sz w:val="18"/>
          <w:szCs w:val="18"/>
        </w:rPr>
        <w:t xml:space="preserve"> &lt; 0.001</w:t>
      </w:r>
      <w:r>
        <w:rPr>
          <w:rFonts w:ascii="Times New Roman" w:hAnsi="Times New Roman" w:cs="Times New Roman"/>
          <w:sz w:val="18"/>
          <w:szCs w:val="18"/>
        </w:rPr>
        <w:t xml:space="preserve"> (stat. difference of interaction) </w:t>
      </w:r>
    </w:p>
    <w:p w:rsidR="00517C19" w:rsidRPr="00E42828" w:rsidRDefault="00517C19" w:rsidP="00517C19">
      <w:pPr>
        <w:autoSpaceDE w:val="0"/>
        <w:autoSpaceDN w:val="0"/>
        <w:adjustRightInd w:val="0"/>
        <w:spacing w:after="0" w:line="240" w:lineRule="auto"/>
        <w:rPr>
          <w:rFonts w:ascii="Times New Roman" w:hAnsi="Times New Roman" w:cs="Times New Roman"/>
          <w:sz w:val="18"/>
          <w:szCs w:val="18"/>
        </w:rPr>
      </w:pPr>
      <w:r w:rsidRPr="00E42828">
        <w:rPr>
          <w:rFonts w:ascii="Times New Roman" w:hAnsi="Times New Roman" w:cs="Times New Roman"/>
          <w:sz w:val="18"/>
          <w:szCs w:val="18"/>
        </w:rPr>
        <w:t xml:space="preserve">Each model includes race / ethnicity, </w:t>
      </w:r>
      <w:r>
        <w:rPr>
          <w:rFonts w:ascii="Times New Roman" w:hAnsi="Times New Roman" w:cs="Times New Roman"/>
          <w:sz w:val="18"/>
          <w:szCs w:val="18"/>
        </w:rPr>
        <w:t>sex</w:t>
      </w:r>
      <w:r w:rsidRPr="00E42828">
        <w:rPr>
          <w:rFonts w:ascii="Times New Roman" w:hAnsi="Times New Roman" w:cs="Times New Roman"/>
          <w:sz w:val="18"/>
          <w:szCs w:val="18"/>
        </w:rPr>
        <w:t>, age group, hospital region, median income for patient’s zip code, payer type, location and teaching status, year, ICD change as controls.</w:t>
      </w:r>
    </w:p>
    <w:p w:rsidR="00EF5882" w:rsidRDefault="00EF5882" w:rsidP="00CD0A51"/>
    <w:p w:rsidR="00EF5882" w:rsidRDefault="00EF5882" w:rsidP="00CD0A51"/>
    <w:sectPr w:rsidR="00EF5882" w:rsidSect="006D4221">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54E8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E95B9C"/>
    <w:multiLevelType w:val="hybridMultilevel"/>
    <w:tmpl w:val="71346C30"/>
    <w:lvl w:ilvl="0" w:tplc="29CE1538">
      <w:start w:val="777"/>
      <w:numFmt w:val="bullet"/>
      <w:lvlText w:val="-"/>
      <w:lvlJc w:val="left"/>
      <w:pPr>
        <w:ind w:left="528" w:hanging="360"/>
      </w:pPr>
      <w:rPr>
        <w:rFonts w:ascii="Times New Roman" w:eastAsiaTheme="minorHAnsi" w:hAnsi="Times New Roman" w:cs="Times New Roman"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2" w15:restartNumberingAfterBreak="0">
    <w:nsid w:val="19A87933"/>
    <w:multiLevelType w:val="hybridMultilevel"/>
    <w:tmpl w:val="66D8C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6B26D4"/>
    <w:multiLevelType w:val="hybridMultilevel"/>
    <w:tmpl w:val="09CC2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5138E"/>
    <w:multiLevelType w:val="hybridMultilevel"/>
    <w:tmpl w:val="12D48CD8"/>
    <w:lvl w:ilvl="0" w:tplc="413AB57E">
      <w:start w:val="777"/>
      <w:numFmt w:val="bullet"/>
      <w:lvlText w:val="-"/>
      <w:lvlJc w:val="left"/>
      <w:pPr>
        <w:ind w:left="582" w:hanging="360"/>
      </w:pPr>
      <w:rPr>
        <w:rFonts w:ascii="Times New Roman" w:eastAsiaTheme="minorHAnsi" w:hAnsi="Times New Roman" w:cs="Times New Roman" w:hint="default"/>
      </w:rPr>
    </w:lvl>
    <w:lvl w:ilvl="1" w:tplc="04090003" w:tentative="1">
      <w:start w:val="1"/>
      <w:numFmt w:val="bullet"/>
      <w:lvlText w:val="o"/>
      <w:lvlJc w:val="left"/>
      <w:pPr>
        <w:ind w:left="1302" w:hanging="360"/>
      </w:pPr>
      <w:rPr>
        <w:rFonts w:ascii="Courier New" w:hAnsi="Courier New" w:cs="Courier New" w:hint="default"/>
      </w:rPr>
    </w:lvl>
    <w:lvl w:ilvl="2" w:tplc="04090005" w:tentative="1">
      <w:start w:val="1"/>
      <w:numFmt w:val="bullet"/>
      <w:lvlText w:val=""/>
      <w:lvlJc w:val="left"/>
      <w:pPr>
        <w:ind w:left="2022" w:hanging="360"/>
      </w:pPr>
      <w:rPr>
        <w:rFonts w:ascii="Wingdings" w:hAnsi="Wingdings" w:hint="default"/>
      </w:rPr>
    </w:lvl>
    <w:lvl w:ilvl="3" w:tplc="04090001" w:tentative="1">
      <w:start w:val="1"/>
      <w:numFmt w:val="bullet"/>
      <w:lvlText w:val=""/>
      <w:lvlJc w:val="left"/>
      <w:pPr>
        <w:ind w:left="2742" w:hanging="360"/>
      </w:pPr>
      <w:rPr>
        <w:rFonts w:ascii="Symbol" w:hAnsi="Symbol" w:hint="default"/>
      </w:rPr>
    </w:lvl>
    <w:lvl w:ilvl="4" w:tplc="04090003" w:tentative="1">
      <w:start w:val="1"/>
      <w:numFmt w:val="bullet"/>
      <w:lvlText w:val="o"/>
      <w:lvlJc w:val="left"/>
      <w:pPr>
        <w:ind w:left="3462" w:hanging="360"/>
      </w:pPr>
      <w:rPr>
        <w:rFonts w:ascii="Courier New" w:hAnsi="Courier New" w:cs="Courier New" w:hint="default"/>
      </w:rPr>
    </w:lvl>
    <w:lvl w:ilvl="5" w:tplc="04090005" w:tentative="1">
      <w:start w:val="1"/>
      <w:numFmt w:val="bullet"/>
      <w:lvlText w:val=""/>
      <w:lvlJc w:val="left"/>
      <w:pPr>
        <w:ind w:left="4182" w:hanging="360"/>
      </w:pPr>
      <w:rPr>
        <w:rFonts w:ascii="Wingdings" w:hAnsi="Wingdings" w:hint="default"/>
      </w:rPr>
    </w:lvl>
    <w:lvl w:ilvl="6" w:tplc="04090001" w:tentative="1">
      <w:start w:val="1"/>
      <w:numFmt w:val="bullet"/>
      <w:lvlText w:val=""/>
      <w:lvlJc w:val="left"/>
      <w:pPr>
        <w:ind w:left="4902" w:hanging="360"/>
      </w:pPr>
      <w:rPr>
        <w:rFonts w:ascii="Symbol" w:hAnsi="Symbol" w:hint="default"/>
      </w:rPr>
    </w:lvl>
    <w:lvl w:ilvl="7" w:tplc="04090003" w:tentative="1">
      <w:start w:val="1"/>
      <w:numFmt w:val="bullet"/>
      <w:lvlText w:val="o"/>
      <w:lvlJc w:val="left"/>
      <w:pPr>
        <w:ind w:left="5622" w:hanging="360"/>
      </w:pPr>
      <w:rPr>
        <w:rFonts w:ascii="Courier New" w:hAnsi="Courier New" w:cs="Courier New" w:hint="default"/>
      </w:rPr>
    </w:lvl>
    <w:lvl w:ilvl="8" w:tplc="04090005" w:tentative="1">
      <w:start w:val="1"/>
      <w:numFmt w:val="bullet"/>
      <w:lvlText w:val=""/>
      <w:lvlJc w:val="left"/>
      <w:pPr>
        <w:ind w:left="6342" w:hanging="360"/>
      </w:pPr>
      <w:rPr>
        <w:rFonts w:ascii="Wingdings" w:hAnsi="Wingdings" w:hint="default"/>
      </w:rPr>
    </w:lvl>
  </w:abstractNum>
  <w:abstractNum w:abstractNumId="5" w15:restartNumberingAfterBreak="0">
    <w:nsid w:val="38AB2466"/>
    <w:multiLevelType w:val="hybridMultilevel"/>
    <w:tmpl w:val="9870A9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001817"/>
    <w:multiLevelType w:val="hybridMultilevel"/>
    <w:tmpl w:val="2488B72C"/>
    <w:lvl w:ilvl="0" w:tplc="BD8C4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912D65"/>
    <w:multiLevelType w:val="hybridMultilevel"/>
    <w:tmpl w:val="BD7CB254"/>
    <w:lvl w:ilvl="0" w:tplc="571E89F4">
      <w:start w:val="777"/>
      <w:numFmt w:val="bullet"/>
      <w:lvlText w:val="-"/>
      <w:lvlJc w:val="left"/>
      <w:pPr>
        <w:ind w:left="528" w:hanging="360"/>
      </w:pPr>
      <w:rPr>
        <w:rFonts w:ascii="Times New Roman" w:eastAsiaTheme="minorHAnsi" w:hAnsi="Times New Roman" w:cs="Times New Roman"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8" w15:restartNumberingAfterBreak="0">
    <w:nsid w:val="6ADC3960"/>
    <w:multiLevelType w:val="hybridMultilevel"/>
    <w:tmpl w:val="DFCC50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8"/>
  </w:num>
  <w:num w:numId="5">
    <w:abstractNumId w:val="6"/>
  </w:num>
  <w:num w:numId="6">
    <w:abstractNumId w:val="4"/>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Medical Ca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sx0x9zxhav5t9erewsxwewaww9f0t0rxpea&quot;&gt;HCUP lib&lt;record-ids&gt;&lt;item&gt;14&lt;/item&gt;&lt;item&gt;15&lt;/item&gt;&lt;item&gt;16&lt;/item&gt;&lt;item&gt;17&lt;/item&gt;&lt;/record-ids&gt;&lt;/item&gt;&lt;/Libraries&gt;"/>
  </w:docVars>
  <w:rsids>
    <w:rsidRoot w:val="00517C19"/>
    <w:rsid w:val="00270777"/>
    <w:rsid w:val="00517C19"/>
    <w:rsid w:val="00553EC3"/>
    <w:rsid w:val="006D4221"/>
    <w:rsid w:val="00954892"/>
    <w:rsid w:val="00BD11CB"/>
    <w:rsid w:val="00CD0A51"/>
    <w:rsid w:val="00D26908"/>
    <w:rsid w:val="00EF5882"/>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9EF4"/>
  <w15:chartTrackingRefBased/>
  <w15:docId w15:val="{C7B68E97-9BAB-43DF-961F-88EFC675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7C1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C19"/>
    <w:pPr>
      <w:ind w:left="720"/>
      <w:contextualSpacing/>
    </w:pPr>
  </w:style>
  <w:style w:type="character" w:styleId="Hyperlink">
    <w:name w:val="Hyperlink"/>
    <w:basedOn w:val="DefaultParagraphFont"/>
    <w:uiPriority w:val="99"/>
    <w:unhideWhenUsed/>
    <w:rsid w:val="00517C19"/>
    <w:rPr>
      <w:color w:val="0563C1" w:themeColor="hyperlink"/>
      <w:u w:val="single"/>
    </w:rPr>
  </w:style>
  <w:style w:type="table" w:styleId="TableGrid">
    <w:name w:val="Table Grid"/>
    <w:basedOn w:val="TableNormal"/>
    <w:uiPriority w:val="39"/>
    <w:rsid w:val="00517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17C19"/>
    <w:rPr>
      <w:color w:val="605E5C"/>
      <w:shd w:val="clear" w:color="auto" w:fill="E1DFDD"/>
    </w:rPr>
  </w:style>
  <w:style w:type="character" w:styleId="FollowedHyperlink">
    <w:name w:val="FollowedHyperlink"/>
    <w:basedOn w:val="DefaultParagraphFont"/>
    <w:uiPriority w:val="99"/>
    <w:semiHidden/>
    <w:unhideWhenUsed/>
    <w:rsid w:val="00517C19"/>
    <w:rPr>
      <w:color w:val="954F72" w:themeColor="followedHyperlink"/>
      <w:u w:val="single"/>
    </w:rPr>
  </w:style>
  <w:style w:type="paragraph" w:styleId="NoSpacing">
    <w:name w:val="No Spacing"/>
    <w:link w:val="NoSpacingChar"/>
    <w:uiPriority w:val="1"/>
    <w:qFormat/>
    <w:rsid w:val="00517C19"/>
    <w:pPr>
      <w:spacing w:after="0" w:line="240" w:lineRule="auto"/>
    </w:pPr>
  </w:style>
  <w:style w:type="paragraph" w:customStyle="1" w:styleId="EndNoteBibliography">
    <w:name w:val="EndNote Bibliography"/>
    <w:basedOn w:val="Normal"/>
    <w:link w:val="EndNoteBibliographyChar"/>
    <w:rsid w:val="00517C19"/>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517C19"/>
    <w:rPr>
      <w:rFonts w:ascii="Calibri" w:hAnsi="Calibri" w:cs="Calibri"/>
      <w:noProof/>
    </w:rPr>
  </w:style>
  <w:style w:type="paragraph" w:customStyle="1" w:styleId="EndNoteBibliographyTitle">
    <w:name w:val="EndNote Bibliography Title"/>
    <w:basedOn w:val="Normal"/>
    <w:link w:val="EndNoteBibliographyTitleChar"/>
    <w:rsid w:val="00517C19"/>
    <w:pPr>
      <w:spacing w:after="0"/>
      <w:jc w:val="center"/>
    </w:pPr>
    <w:rPr>
      <w:rFonts w:ascii="Calibri" w:hAnsi="Calibri" w:cs="Calibri"/>
      <w:noProof/>
    </w:rPr>
  </w:style>
  <w:style w:type="character" w:customStyle="1" w:styleId="NoSpacingChar">
    <w:name w:val="No Spacing Char"/>
    <w:basedOn w:val="DefaultParagraphFont"/>
    <w:link w:val="NoSpacing"/>
    <w:uiPriority w:val="1"/>
    <w:rsid w:val="00517C19"/>
  </w:style>
  <w:style w:type="character" w:customStyle="1" w:styleId="EndNoteBibliographyTitleChar">
    <w:name w:val="EndNote Bibliography Title Char"/>
    <w:basedOn w:val="NoSpacingChar"/>
    <w:link w:val="EndNoteBibliographyTitle"/>
    <w:rsid w:val="00517C19"/>
    <w:rPr>
      <w:rFonts w:ascii="Calibri" w:hAnsi="Calibri" w:cs="Calibri"/>
      <w:noProof/>
    </w:rPr>
  </w:style>
  <w:style w:type="character" w:styleId="CommentReference">
    <w:name w:val="annotation reference"/>
    <w:basedOn w:val="DefaultParagraphFont"/>
    <w:uiPriority w:val="99"/>
    <w:semiHidden/>
    <w:unhideWhenUsed/>
    <w:rsid w:val="00517C19"/>
    <w:rPr>
      <w:sz w:val="16"/>
      <w:szCs w:val="16"/>
    </w:rPr>
  </w:style>
  <w:style w:type="paragraph" w:styleId="CommentText">
    <w:name w:val="annotation text"/>
    <w:basedOn w:val="Normal"/>
    <w:link w:val="CommentTextChar"/>
    <w:uiPriority w:val="99"/>
    <w:unhideWhenUsed/>
    <w:rsid w:val="00517C19"/>
    <w:pPr>
      <w:spacing w:line="240" w:lineRule="auto"/>
    </w:pPr>
    <w:rPr>
      <w:sz w:val="20"/>
      <w:szCs w:val="20"/>
    </w:rPr>
  </w:style>
  <w:style w:type="character" w:customStyle="1" w:styleId="CommentTextChar">
    <w:name w:val="Comment Text Char"/>
    <w:basedOn w:val="DefaultParagraphFont"/>
    <w:link w:val="CommentText"/>
    <w:uiPriority w:val="99"/>
    <w:rsid w:val="00517C19"/>
    <w:rPr>
      <w:sz w:val="20"/>
      <w:szCs w:val="20"/>
    </w:rPr>
  </w:style>
  <w:style w:type="paragraph" w:styleId="CommentSubject">
    <w:name w:val="annotation subject"/>
    <w:basedOn w:val="CommentText"/>
    <w:next w:val="CommentText"/>
    <w:link w:val="CommentSubjectChar"/>
    <w:uiPriority w:val="99"/>
    <w:semiHidden/>
    <w:unhideWhenUsed/>
    <w:rsid w:val="00517C19"/>
    <w:rPr>
      <w:b/>
      <w:bCs/>
    </w:rPr>
  </w:style>
  <w:style w:type="character" w:customStyle="1" w:styleId="CommentSubjectChar">
    <w:name w:val="Comment Subject Char"/>
    <w:basedOn w:val="CommentTextChar"/>
    <w:link w:val="CommentSubject"/>
    <w:uiPriority w:val="99"/>
    <w:semiHidden/>
    <w:rsid w:val="00517C19"/>
    <w:rPr>
      <w:b/>
      <w:bCs/>
      <w:sz w:val="20"/>
      <w:szCs w:val="20"/>
    </w:rPr>
  </w:style>
  <w:style w:type="paragraph" w:styleId="BalloonText">
    <w:name w:val="Balloon Text"/>
    <w:basedOn w:val="Normal"/>
    <w:link w:val="BalloonTextChar"/>
    <w:uiPriority w:val="99"/>
    <w:semiHidden/>
    <w:unhideWhenUsed/>
    <w:rsid w:val="00517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C19"/>
    <w:rPr>
      <w:rFonts w:ascii="Segoe UI" w:hAnsi="Segoe UI" w:cs="Segoe UI"/>
      <w:sz w:val="18"/>
      <w:szCs w:val="18"/>
    </w:rPr>
  </w:style>
  <w:style w:type="paragraph" w:styleId="Revision">
    <w:name w:val="Revision"/>
    <w:hidden/>
    <w:uiPriority w:val="99"/>
    <w:semiHidden/>
    <w:rsid w:val="00517C19"/>
    <w:pPr>
      <w:spacing w:after="0" w:line="240" w:lineRule="auto"/>
    </w:pPr>
  </w:style>
  <w:style w:type="paragraph" w:styleId="Header">
    <w:name w:val="header"/>
    <w:basedOn w:val="Normal"/>
    <w:link w:val="HeaderChar"/>
    <w:uiPriority w:val="99"/>
    <w:unhideWhenUsed/>
    <w:rsid w:val="00517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C19"/>
  </w:style>
  <w:style w:type="paragraph" w:styleId="Footer">
    <w:name w:val="footer"/>
    <w:basedOn w:val="Normal"/>
    <w:link w:val="FooterChar"/>
    <w:uiPriority w:val="99"/>
    <w:unhideWhenUsed/>
    <w:rsid w:val="00517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C19"/>
  </w:style>
  <w:style w:type="character" w:customStyle="1" w:styleId="UnresolvedMention2">
    <w:name w:val="Unresolved Mention2"/>
    <w:basedOn w:val="DefaultParagraphFont"/>
    <w:uiPriority w:val="99"/>
    <w:semiHidden/>
    <w:unhideWhenUsed/>
    <w:rsid w:val="00517C19"/>
    <w:rPr>
      <w:color w:val="605E5C"/>
      <w:shd w:val="clear" w:color="auto" w:fill="E1DFDD"/>
    </w:rPr>
  </w:style>
  <w:style w:type="character" w:styleId="UnresolvedMention">
    <w:name w:val="Unresolved Mention"/>
    <w:basedOn w:val="DefaultParagraphFont"/>
    <w:uiPriority w:val="99"/>
    <w:semiHidden/>
    <w:unhideWhenUsed/>
    <w:rsid w:val="00517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ww.hcup-us.ahrq.gov/db/state/costtocharge.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hcup-us.ahrq.gov/db/nation/nis/trendwghts.jsp" TargetMode="External"/><Relationship Id="rId5" Type="http://schemas.openxmlformats.org/officeDocument/2006/relationships/hyperlink" Target="www.hcup-us.ahrq.gov/db/nation/nis/nisdde.js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2120</Words>
  <Characters>12087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Kompaniyets, Lyudmyla (CDC/DDNID/NCCDPHP/DNPAO)</dc:creator>
  <cp:keywords/>
  <dc:description/>
  <cp:lastModifiedBy>Kompaniyets, Lyudmyla (CDC/DDNID/NCCDPHP/DNPAO)</cp:lastModifiedBy>
  <cp:revision>3</cp:revision>
  <dcterms:created xsi:type="dcterms:W3CDTF">2020-03-05T06:00:00Z</dcterms:created>
  <dcterms:modified xsi:type="dcterms:W3CDTF">2020-03-05T06:20:00Z</dcterms:modified>
</cp:coreProperties>
</file>