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8672" w14:textId="14E6F86D" w:rsidR="00F2780C" w:rsidRDefault="008E6A55" w:rsidP="008E6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A55">
        <w:rPr>
          <w:rFonts w:ascii="Times New Roman" w:hAnsi="Times New Roman" w:cs="Times New Roman"/>
          <w:sz w:val="24"/>
          <w:szCs w:val="24"/>
        </w:rPr>
        <w:t>Bacterial community assemblages in classroom floor dust of 50 public schools in a large city: characterization using 16s rRNA sequences and associations with environmental factors</w:t>
      </w:r>
    </w:p>
    <w:p w14:paraId="7BD527AA" w14:textId="77777777" w:rsidR="008E6A55" w:rsidRDefault="008E6A55" w:rsidP="008E6A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3E7CF5" w14:textId="77777777" w:rsidR="00F2780C" w:rsidRDefault="00F2780C" w:rsidP="00F27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Ju-Hyeong Park</w:t>
      </w:r>
      <w:r w:rsidRPr="00C961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r>
        <w:rPr>
          <w:rFonts w:ascii="Times New Roman" w:hAnsi="Times New Roman" w:cs="Times New Roman"/>
          <w:sz w:val="24"/>
          <w:szCs w:val="24"/>
        </w:rPr>
        <w:t>, Angela Lemons</w:t>
      </w:r>
      <w:r w:rsidRPr="00C961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Jerry Roseman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Brett Green</w:t>
      </w:r>
      <w:r w:rsidRPr="00C961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Jean Cox-Ganser</w:t>
      </w:r>
      <w:r w:rsidRPr="00C9618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84CC708" w14:textId="681BB816" w:rsidR="00F2780C" w:rsidRDefault="00F2780C" w:rsidP="00F27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2180F" w14:textId="5611B8C9" w:rsidR="00392A2F" w:rsidRDefault="00392A2F" w:rsidP="00F27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ADFD9" w14:textId="4D9A3FBA" w:rsidR="00392A2F" w:rsidRDefault="00392A2F" w:rsidP="00F27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BAFBE" w14:textId="77777777" w:rsidR="00392A2F" w:rsidRDefault="00392A2F" w:rsidP="00F27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C337B" w14:textId="63A911C6" w:rsidR="00F2780C" w:rsidRDefault="00F2780C" w:rsidP="00F27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92A2F">
        <w:rPr>
          <w:rFonts w:ascii="Times New Roman" w:hAnsi="Times New Roman" w:cs="Times New Roman"/>
          <w:sz w:val="24"/>
          <w:szCs w:val="24"/>
        </w:rPr>
        <w:t xml:space="preserve">Respiratory Health Division, </w:t>
      </w:r>
      <w:r>
        <w:rPr>
          <w:rFonts w:ascii="Times New Roman" w:hAnsi="Times New Roman" w:cs="Times New Roman"/>
          <w:sz w:val="24"/>
          <w:szCs w:val="24"/>
        </w:rPr>
        <w:t>National Institute for Occupational Safety and Health, Morgantown, WV, USA</w:t>
      </w:r>
    </w:p>
    <w:p w14:paraId="4BCFCAA7" w14:textId="77777777" w:rsidR="00F2780C" w:rsidRDefault="00F2780C" w:rsidP="00F27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Philadelphia Federation of Teachers Health &amp; Welfare Fund &amp; Union, Philadelphia, PA, USA</w:t>
      </w:r>
    </w:p>
    <w:p w14:paraId="7D9E41C1" w14:textId="77777777" w:rsidR="00F2780C" w:rsidRDefault="00F2780C" w:rsidP="00F2780C">
      <w:pPr>
        <w:rPr>
          <w:rFonts w:ascii="Times New Roman" w:hAnsi="Times New Roman" w:cs="Times New Roman"/>
          <w:sz w:val="24"/>
          <w:szCs w:val="24"/>
        </w:rPr>
      </w:pPr>
    </w:p>
    <w:p w14:paraId="3B4D8831" w14:textId="77777777" w:rsidR="00F2780C" w:rsidRDefault="00F2780C" w:rsidP="00F2780C">
      <w:pPr>
        <w:rPr>
          <w:rFonts w:ascii="Times New Roman" w:hAnsi="Times New Roman" w:cs="Times New Roman"/>
          <w:sz w:val="24"/>
          <w:szCs w:val="24"/>
        </w:rPr>
      </w:pPr>
    </w:p>
    <w:p w14:paraId="286E9C0A" w14:textId="77777777" w:rsidR="00F2780C" w:rsidRDefault="00F2780C" w:rsidP="00F2780C">
      <w:pPr>
        <w:rPr>
          <w:rFonts w:ascii="Times New Roman" w:hAnsi="Times New Roman" w:cs="Times New Roman"/>
          <w:sz w:val="24"/>
          <w:szCs w:val="24"/>
        </w:rPr>
      </w:pPr>
    </w:p>
    <w:p w14:paraId="3664F61D" w14:textId="77777777" w:rsidR="00F2780C" w:rsidRDefault="00F2780C" w:rsidP="00F2780C">
      <w:pPr>
        <w:rPr>
          <w:rFonts w:ascii="Times New Roman" w:hAnsi="Times New Roman" w:cs="Times New Roman"/>
          <w:sz w:val="24"/>
          <w:szCs w:val="24"/>
        </w:rPr>
      </w:pPr>
      <w:r w:rsidRPr="00D700C8">
        <w:rPr>
          <w:rFonts w:ascii="Times New Roman" w:hAnsi="Times New Roman" w:cs="Times New Roman"/>
          <w:sz w:val="24"/>
          <w:szCs w:val="24"/>
        </w:rPr>
        <w:t>* Corresponding author</w:t>
      </w:r>
      <w:r>
        <w:rPr>
          <w:rFonts w:ascii="Times New Roman" w:hAnsi="Times New Roman" w:cs="Times New Roman"/>
          <w:sz w:val="24"/>
          <w:szCs w:val="24"/>
        </w:rPr>
        <w:t xml:space="preserve">: Ju-Hyeong Park </w:t>
      </w:r>
    </w:p>
    <w:p w14:paraId="5A427F24" w14:textId="77777777" w:rsidR="00F2780C" w:rsidRPr="00D700C8" w:rsidRDefault="00F2780C" w:rsidP="00F278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2213E5">
          <w:rPr>
            <w:rStyle w:val="Hyperlink"/>
            <w:rFonts w:ascii="Times New Roman" w:hAnsi="Times New Roman" w:cs="Times New Roman"/>
            <w:sz w:val="24"/>
            <w:szCs w:val="24"/>
          </w:rPr>
          <w:t>gzp8@cdc.gov</w:t>
        </w:r>
      </w:hyperlink>
      <w:r>
        <w:rPr>
          <w:rFonts w:ascii="Times New Roman" w:hAnsi="Times New Roman" w:cs="Times New Roman"/>
          <w:sz w:val="24"/>
          <w:szCs w:val="24"/>
        </w:rPr>
        <w:t>; mailing address: Field Studies</w:t>
      </w:r>
      <w:r w:rsidRPr="003D07FB">
        <w:rPr>
          <w:rFonts w:ascii="Times New Roman" w:hAnsi="Times New Roman" w:cs="Times New Roman"/>
          <w:sz w:val="24"/>
          <w:szCs w:val="24"/>
        </w:rPr>
        <w:t xml:space="preserve"> Branch, </w:t>
      </w:r>
      <w:r>
        <w:rPr>
          <w:rFonts w:ascii="Times New Roman" w:hAnsi="Times New Roman" w:cs="Times New Roman"/>
          <w:sz w:val="24"/>
          <w:szCs w:val="24"/>
        </w:rPr>
        <w:t xml:space="preserve">Respiratory </w:t>
      </w:r>
      <w:r w:rsidRPr="003D07FB">
        <w:rPr>
          <w:rFonts w:ascii="Times New Roman" w:hAnsi="Times New Roman" w:cs="Times New Roman"/>
          <w:sz w:val="24"/>
          <w:szCs w:val="24"/>
        </w:rPr>
        <w:t>Health Division, National Institute for Occupational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FB">
        <w:rPr>
          <w:rFonts w:ascii="Times New Roman" w:hAnsi="Times New Roman" w:cs="Times New Roman"/>
          <w:sz w:val="24"/>
          <w:szCs w:val="24"/>
        </w:rPr>
        <w:t xml:space="preserve">Safety and Health, Centers for Disease Control and Prevention, </w:t>
      </w:r>
      <w:r>
        <w:rPr>
          <w:rFonts w:ascii="Times New Roman" w:hAnsi="Times New Roman" w:cs="Times New Roman"/>
          <w:sz w:val="24"/>
          <w:szCs w:val="24"/>
        </w:rPr>
        <w:t xml:space="preserve">1095 </w:t>
      </w:r>
      <w:r w:rsidRPr="003D07FB">
        <w:rPr>
          <w:rFonts w:ascii="Times New Roman" w:hAnsi="Times New Roman" w:cs="Times New Roman"/>
          <w:sz w:val="24"/>
          <w:szCs w:val="24"/>
        </w:rPr>
        <w:t>Willowdale Road, Morgantown,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FB">
        <w:rPr>
          <w:rFonts w:ascii="Times New Roman" w:hAnsi="Times New Roman" w:cs="Times New Roman"/>
          <w:sz w:val="24"/>
          <w:szCs w:val="24"/>
        </w:rPr>
        <w:t>WV</w:t>
      </w:r>
      <w:r>
        <w:rPr>
          <w:rFonts w:ascii="Times New Roman" w:hAnsi="Times New Roman" w:cs="Times New Roman"/>
          <w:sz w:val="24"/>
          <w:szCs w:val="24"/>
        </w:rPr>
        <w:t xml:space="preserve"> 26505</w:t>
      </w:r>
      <w:r w:rsidRPr="003D07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4624B" w14:textId="77777777" w:rsidR="00F2780C" w:rsidRPr="00D700C8" w:rsidRDefault="00F2780C" w:rsidP="00F2780C">
      <w:pPr>
        <w:rPr>
          <w:rFonts w:ascii="Times New Roman" w:hAnsi="Times New Roman" w:cs="Times New Roman"/>
          <w:sz w:val="24"/>
          <w:szCs w:val="24"/>
        </w:rPr>
      </w:pPr>
    </w:p>
    <w:p w14:paraId="5D0BA565" w14:textId="19F6DC56" w:rsidR="00A1501A" w:rsidRDefault="00A1501A" w:rsidP="00F2780C">
      <w:pPr>
        <w:rPr>
          <w:rFonts w:ascii="Times New Roman" w:hAnsi="Times New Roman" w:cs="Times New Roman"/>
          <w:sz w:val="24"/>
          <w:szCs w:val="24"/>
        </w:rPr>
      </w:pPr>
    </w:p>
    <w:p w14:paraId="2E6F7DED" w14:textId="77777777" w:rsidR="00A1501A" w:rsidRDefault="00A1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D4FED7" w14:textId="77777777" w:rsidR="00FC70C6" w:rsidRDefault="008E4FA2">
      <w:r w:rsidRPr="008E4FA2">
        <w:rPr>
          <w:noProof/>
        </w:rPr>
        <w:lastRenderedPageBreak/>
        <w:drawing>
          <wp:inline distT="0" distB="0" distL="0" distR="0" wp14:anchorId="6284CC48" wp14:editId="2A57CF69">
            <wp:extent cx="5469570" cy="409078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1007" cy="410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14E34" w14:textId="77777777" w:rsidR="008E4FA2" w:rsidRPr="00FE3B7D" w:rsidRDefault="008E4FA2">
      <w:pPr>
        <w:rPr>
          <w:rFonts w:ascii="Times New Roman" w:hAnsi="Times New Roman" w:cs="Times New Roman"/>
          <w:sz w:val="24"/>
          <w:szCs w:val="24"/>
        </w:rPr>
      </w:pPr>
      <w:r w:rsidRPr="00FE3B7D">
        <w:rPr>
          <w:rFonts w:ascii="Times New Roman" w:hAnsi="Times New Roman" w:cs="Times New Roman"/>
          <w:sz w:val="24"/>
          <w:szCs w:val="24"/>
        </w:rPr>
        <w:t xml:space="preserve">Supplemental Figure 1. Relative abundance of all 29 bacterial phyla identified in 499 samples. </w:t>
      </w:r>
    </w:p>
    <w:p w14:paraId="44620166" w14:textId="77777777" w:rsidR="008E4FA2" w:rsidRDefault="008E4FA2">
      <w:r>
        <w:br w:type="page"/>
      </w:r>
    </w:p>
    <w:p w14:paraId="7EDC7E18" w14:textId="77777777" w:rsidR="008E4FA2" w:rsidRDefault="008E4FA2">
      <w:r w:rsidRPr="008E4FA2">
        <w:rPr>
          <w:noProof/>
        </w:rPr>
        <w:lastRenderedPageBreak/>
        <w:drawing>
          <wp:inline distT="0" distB="0" distL="0" distR="0" wp14:anchorId="13506C76" wp14:editId="2B1971DD">
            <wp:extent cx="5492401" cy="4100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3880" cy="412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48F7" w14:textId="77777777" w:rsidR="008E4FA2" w:rsidRPr="00FE3B7D" w:rsidRDefault="008E4FA2">
      <w:pPr>
        <w:rPr>
          <w:rFonts w:ascii="Times New Roman" w:hAnsi="Times New Roman" w:cs="Times New Roman"/>
          <w:sz w:val="24"/>
          <w:szCs w:val="24"/>
        </w:rPr>
      </w:pPr>
      <w:r w:rsidRPr="00FE3B7D">
        <w:rPr>
          <w:rFonts w:ascii="Times New Roman" w:hAnsi="Times New Roman" w:cs="Times New Roman"/>
          <w:sz w:val="24"/>
          <w:szCs w:val="24"/>
        </w:rPr>
        <w:t>Supplemental Figure 2. Relative abundance of the most abundant top 30 genera.</w:t>
      </w:r>
    </w:p>
    <w:p w14:paraId="49A21B73" w14:textId="77777777" w:rsidR="008E4FA2" w:rsidRDefault="008E4FA2">
      <w:r>
        <w:br w:type="page"/>
      </w:r>
    </w:p>
    <w:p w14:paraId="6B03DE05" w14:textId="77777777" w:rsidR="008E4FA2" w:rsidRDefault="008E4FA2">
      <w:r w:rsidRPr="008E4FA2">
        <w:rPr>
          <w:noProof/>
        </w:rPr>
        <w:lastRenderedPageBreak/>
        <w:drawing>
          <wp:inline distT="0" distB="0" distL="0" distR="0" wp14:anchorId="144E7621" wp14:editId="54390E3A">
            <wp:extent cx="5940795" cy="4585845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4762" cy="46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95E74" w14:textId="77777777" w:rsidR="0017431F" w:rsidRPr="00FE3B7D" w:rsidRDefault="008E4FA2">
      <w:pPr>
        <w:rPr>
          <w:rFonts w:ascii="Times New Roman" w:hAnsi="Times New Roman" w:cs="Times New Roman"/>
          <w:sz w:val="24"/>
          <w:szCs w:val="24"/>
        </w:rPr>
      </w:pPr>
      <w:r w:rsidRPr="00FE3B7D">
        <w:rPr>
          <w:rFonts w:ascii="Times New Roman" w:hAnsi="Times New Roman" w:cs="Times New Roman"/>
          <w:sz w:val="24"/>
          <w:szCs w:val="24"/>
        </w:rPr>
        <w:t xml:space="preserve">Supplemental Figure 3. </w:t>
      </w:r>
      <w:r w:rsidR="0017431F" w:rsidRPr="00FE3B7D">
        <w:rPr>
          <w:rFonts w:ascii="Times New Roman" w:hAnsi="Times New Roman" w:cs="Times New Roman"/>
          <w:sz w:val="24"/>
          <w:szCs w:val="24"/>
        </w:rPr>
        <w:t>The most abundant top 30 genera for each of the four clusters of dendrogram.</w:t>
      </w:r>
    </w:p>
    <w:p w14:paraId="7B594CB2" w14:textId="77777777" w:rsidR="0017431F" w:rsidRDefault="0017431F">
      <w:r>
        <w:br w:type="page"/>
      </w:r>
    </w:p>
    <w:p w14:paraId="2BE05096" w14:textId="77777777" w:rsidR="008E4FA2" w:rsidRDefault="001624CB">
      <w:r w:rsidRPr="001624CB">
        <w:rPr>
          <w:noProof/>
        </w:rPr>
        <w:lastRenderedPageBreak/>
        <w:drawing>
          <wp:inline distT="0" distB="0" distL="0" distR="0" wp14:anchorId="77DAFC9B" wp14:editId="253BC08E">
            <wp:extent cx="5525668" cy="393868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9032" cy="396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5126" w14:textId="2094C4B5" w:rsidR="005C4595" w:rsidRPr="00FE3B7D" w:rsidRDefault="001624CB">
      <w:pPr>
        <w:rPr>
          <w:rFonts w:ascii="Times New Roman" w:hAnsi="Times New Roman" w:cs="Times New Roman"/>
          <w:sz w:val="24"/>
          <w:szCs w:val="24"/>
        </w:rPr>
      </w:pPr>
      <w:r w:rsidRPr="00FE3B7D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245692" w:rsidRPr="00FE3B7D">
        <w:rPr>
          <w:rFonts w:ascii="Times New Roman" w:hAnsi="Times New Roman" w:cs="Times New Roman"/>
          <w:sz w:val="24"/>
          <w:szCs w:val="24"/>
        </w:rPr>
        <w:t>F</w:t>
      </w:r>
      <w:r w:rsidRPr="00FE3B7D">
        <w:rPr>
          <w:rFonts w:ascii="Times New Roman" w:hAnsi="Times New Roman" w:cs="Times New Roman"/>
          <w:sz w:val="24"/>
          <w:szCs w:val="24"/>
        </w:rPr>
        <w:t>igure 4. Box plot of average water damage score for each of the four clusters of dendrogram.</w:t>
      </w:r>
      <w:r w:rsidR="00717248" w:rsidRPr="00FE3B7D">
        <w:rPr>
          <w:rFonts w:ascii="Times New Roman" w:hAnsi="Times New Roman" w:cs="Times New Roman"/>
          <w:sz w:val="24"/>
          <w:szCs w:val="24"/>
        </w:rPr>
        <w:t xml:space="preserve"> Each box plot shows </w:t>
      </w:r>
      <w:r w:rsidR="00C74184">
        <w:rPr>
          <w:rFonts w:ascii="Times New Roman" w:hAnsi="Times New Roman" w:cs="Times New Roman"/>
          <w:sz w:val="24"/>
          <w:szCs w:val="24"/>
        </w:rPr>
        <w:t>[</w:t>
      </w:r>
      <w:r w:rsidR="00717248" w:rsidRPr="00FE3B7D">
        <w:rPr>
          <w:rFonts w:ascii="Times New Roman" w:hAnsi="Times New Roman" w:cs="Times New Roman"/>
          <w:sz w:val="24"/>
          <w:szCs w:val="24"/>
        </w:rPr>
        <w:t>median-1.5×(interquartile range, IQR)</w:t>
      </w:r>
      <w:r w:rsidR="00C74184">
        <w:rPr>
          <w:rFonts w:ascii="Times New Roman" w:hAnsi="Times New Roman" w:cs="Times New Roman"/>
          <w:sz w:val="24"/>
          <w:szCs w:val="24"/>
        </w:rPr>
        <w:t>]</w:t>
      </w:r>
      <w:r w:rsidR="00717248" w:rsidRPr="00FE3B7D">
        <w:rPr>
          <w:rFonts w:ascii="Times New Roman" w:hAnsi="Times New Roman" w:cs="Times New Roman"/>
          <w:sz w:val="24"/>
          <w:szCs w:val="24"/>
        </w:rPr>
        <w:t>, 25</w:t>
      </w:r>
      <w:r w:rsidR="004049F3" w:rsidRPr="00FE3B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49F3" w:rsidRPr="00FE3B7D">
        <w:rPr>
          <w:rFonts w:ascii="Times New Roman" w:hAnsi="Times New Roman" w:cs="Times New Roman"/>
          <w:sz w:val="24"/>
          <w:szCs w:val="24"/>
        </w:rPr>
        <w:t xml:space="preserve"> percentile</w:t>
      </w:r>
      <w:r w:rsidR="00717248" w:rsidRPr="00FE3B7D">
        <w:rPr>
          <w:rFonts w:ascii="Times New Roman" w:hAnsi="Times New Roman" w:cs="Times New Roman"/>
          <w:sz w:val="24"/>
          <w:szCs w:val="24"/>
        </w:rPr>
        <w:t>, median (thicker horizontal line within the box), 75</w:t>
      </w:r>
      <w:r w:rsidR="004049F3" w:rsidRPr="00FE3B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49F3" w:rsidRPr="00FE3B7D">
        <w:rPr>
          <w:rFonts w:ascii="Times New Roman" w:hAnsi="Times New Roman" w:cs="Times New Roman"/>
          <w:sz w:val="24"/>
          <w:szCs w:val="24"/>
        </w:rPr>
        <w:t xml:space="preserve"> </w:t>
      </w:r>
      <w:r w:rsidR="00717248" w:rsidRPr="00FE3B7D">
        <w:rPr>
          <w:rFonts w:ascii="Times New Roman" w:hAnsi="Times New Roman" w:cs="Times New Roman"/>
          <w:sz w:val="24"/>
          <w:szCs w:val="24"/>
        </w:rPr>
        <w:t xml:space="preserve">percentile, and </w:t>
      </w:r>
      <w:r w:rsidR="00C74184">
        <w:rPr>
          <w:rFonts w:ascii="Times New Roman" w:hAnsi="Times New Roman" w:cs="Times New Roman"/>
          <w:sz w:val="24"/>
          <w:szCs w:val="24"/>
        </w:rPr>
        <w:t>[</w:t>
      </w:r>
      <w:r w:rsidR="00717248" w:rsidRPr="00FE3B7D">
        <w:rPr>
          <w:rFonts w:ascii="Times New Roman" w:hAnsi="Times New Roman" w:cs="Times New Roman"/>
          <w:sz w:val="24"/>
          <w:szCs w:val="24"/>
        </w:rPr>
        <w:t>median+1.5×(IQR)</w:t>
      </w:r>
      <w:r w:rsidR="00C74184">
        <w:rPr>
          <w:rFonts w:ascii="Times New Roman" w:hAnsi="Times New Roman" w:cs="Times New Roman"/>
          <w:sz w:val="24"/>
          <w:szCs w:val="24"/>
        </w:rPr>
        <w:t>]</w:t>
      </w:r>
      <w:r w:rsidR="00717248" w:rsidRPr="00FE3B7D">
        <w:rPr>
          <w:rFonts w:ascii="Times New Roman" w:hAnsi="Times New Roman" w:cs="Times New Roman"/>
          <w:sz w:val="24"/>
          <w:szCs w:val="24"/>
        </w:rPr>
        <w:t xml:space="preserve">. </w:t>
      </w:r>
      <w:r w:rsidR="00245692" w:rsidRPr="00FE3B7D">
        <w:rPr>
          <w:rFonts w:ascii="Times New Roman" w:hAnsi="Times New Roman" w:cs="Times New Roman"/>
          <w:sz w:val="24"/>
          <w:szCs w:val="24"/>
        </w:rPr>
        <w:t>IQR is defined as (75</w:t>
      </w:r>
      <w:r w:rsidR="00245692" w:rsidRPr="00FE3B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5692" w:rsidRPr="00FE3B7D">
        <w:rPr>
          <w:rFonts w:ascii="Times New Roman" w:hAnsi="Times New Roman" w:cs="Times New Roman"/>
          <w:sz w:val="24"/>
          <w:szCs w:val="24"/>
        </w:rPr>
        <w:t xml:space="preserve"> percentile)-(25</w:t>
      </w:r>
      <w:r w:rsidR="00245692" w:rsidRPr="00FE3B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5692" w:rsidRPr="00FE3B7D">
        <w:rPr>
          <w:rFonts w:ascii="Times New Roman" w:hAnsi="Times New Roman" w:cs="Times New Roman"/>
          <w:sz w:val="24"/>
          <w:szCs w:val="24"/>
        </w:rPr>
        <w:t xml:space="preserve"> percentile). </w:t>
      </w:r>
      <w:r w:rsidR="00717248" w:rsidRPr="00FE3B7D">
        <w:rPr>
          <w:rFonts w:ascii="Times New Roman" w:hAnsi="Times New Roman" w:cs="Times New Roman"/>
          <w:sz w:val="24"/>
          <w:szCs w:val="24"/>
        </w:rPr>
        <w:t xml:space="preserve">Values outside the whiskers are considered </w:t>
      </w:r>
      <w:r w:rsidR="00245692" w:rsidRPr="00FE3B7D">
        <w:rPr>
          <w:rFonts w:ascii="Times New Roman" w:hAnsi="Times New Roman" w:cs="Times New Roman"/>
          <w:sz w:val="24"/>
          <w:szCs w:val="24"/>
        </w:rPr>
        <w:t>outliers</w:t>
      </w:r>
      <w:r w:rsidR="00717248" w:rsidRPr="00FE3B7D">
        <w:rPr>
          <w:rFonts w:ascii="Times New Roman" w:hAnsi="Times New Roman" w:cs="Times New Roman"/>
          <w:sz w:val="24"/>
          <w:szCs w:val="24"/>
        </w:rPr>
        <w:t xml:space="preserve"> and </w:t>
      </w:r>
      <w:r w:rsidR="007D3EE3">
        <w:rPr>
          <w:rFonts w:ascii="Times New Roman" w:hAnsi="Times New Roman" w:cs="Times New Roman"/>
          <w:sz w:val="24"/>
          <w:szCs w:val="24"/>
        </w:rPr>
        <w:t>de</w:t>
      </w:r>
      <w:r w:rsidR="00717248" w:rsidRPr="00FE3B7D">
        <w:rPr>
          <w:rFonts w:ascii="Times New Roman" w:hAnsi="Times New Roman" w:cs="Times New Roman"/>
          <w:sz w:val="24"/>
          <w:szCs w:val="24"/>
        </w:rPr>
        <w:t>noted as an open circle.</w:t>
      </w:r>
      <w:r w:rsidR="004049F3" w:rsidRPr="00FE3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A2719" w14:textId="77777777" w:rsidR="00A1501A" w:rsidRDefault="00A1501A">
      <w:r>
        <w:br w:type="page"/>
      </w:r>
    </w:p>
    <w:p w14:paraId="65E1B1ED" w14:textId="77777777" w:rsidR="00A1501A" w:rsidRDefault="00A1501A" w:rsidP="00A1501A">
      <w:pPr>
        <w:rPr>
          <w:noProof/>
        </w:rPr>
      </w:pPr>
      <w:r w:rsidRPr="00550D84">
        <w:rPr>
          <w:noProof/>
        </w:rPr>
        <w:lastRenderedPageBreak/>
        <w:drawing>
          <wp:inline distT="0" distB="0" distL="0" distR="0" wp14:anchorId="1B3AD2A4" wp14:editId="41A662C0">
            <wp:extent cx="5029200" cy="36965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1391" cy="374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73C6D0" w14:textId="77777777" w:rsidR="00A1501A" w:rsidRDefault="00A1501A" w:rsidP="00A1501A">
      <w:pPr>
        <w:rPr>
          <w:noProof/>
        </w:rPr>
      </w:pPr>
      <w:r w:rsidRPr="009A0BB4">
        <w:rPr>
          <w:noProof/>
        </w:rPr>
        <w:t xml:space="preserve"> </w:t>
      </w:r>
      <w:r w:rsidRPr="009A0BB4">
        <w:rPr>
          <w:noProof/>
        </w:rPr>
        <w:drawing>
          <wp:inline distT="0" distB="0" distL="0" distR="0" wp14:anchorId="7E4261E6" wp14:editId="3323213B">
            <wp:extent cx="5006670" cy="3817088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2776" cy="386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603A8" w14:textId="50C790C3" w:rsidR="005C4595" w:rsidRDefault="00A1501A" w:rsidP="00A1501A">
      <w:r>
        <w:rPr>
          <w:rFonts w:ascii="Times New Roman" w:hAnsi="Times New Roman" w:cs="Times New Roman"/>
          <w:noProof/>
          <w:sz w:val="24"/>
          <w:szCs w:val="24"/>
        </w:rPr>
        <w:t xml:space="preserve">Supplemental </w:t>
      </w:r>
      <w:r w:rsidRPr="003D4AD0">
        <w:rPr>
          <w:rFonts w:ascii="Times New Roman" w:hAnsi="Times New Roman" w:cs="Times New Roman"/>
          <w:noProof/>
          <w:sz w:val="24"/>
          <w:szCs w:val="24"/>
        </w:rPr>
        <w:t xml:space="preserve">Figure 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3D4A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Each panel presents rarefied g</w:t>
      </w:r>
      <w:r w:rsidRPr="003D4AD0">
        <w:rPr>
          <w:rFonts w:ascii="Times New Roman" w:hAnsi="Times New Roman" w:cs="Times New Roman"/>
          <w:noProof/>
          <w:sz w:val="24"/>
          <w:szCs w:val="24"/>
        </w:rPr>
        <w:t xml:space="preserve">enus accumulation curves by the level of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each </w:t>
      </w:r>
      <w:r w:rsidRPr="003D4AD0">
        <w:rPr>
          <w:rFonts w:ascii="Times New Roman" w:hAnsi="Times New Roman" w:cs="Times New Roman"/>
          <w:noProof/>
          <w:sz w:val="24"/>
          <w:szCs w:val="24"/>
        </w:rPr>
        <w:t xml:space="preserve">environmental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variable. The second plot on the top row shows only six schools </w:t>
      </w:r>
      <w:r w:rsidR="00BF0ECB">
        <w:rPr>
          <w:rFonts w:ascii="Times New Roman" w:hAnsi="Times New Roman" w:cs="Times New Roman"/>
          <w:noProof/>
          <w:sz w:val="24"/>
          <w:szCs w:val="24"/>
        </w:rPr>
        <w:t>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="001867AC">
        <w:rPr>
          <w:rFonts w:ascii="Times New Roman" w:hAnsi="Times New Roman" w:cs="Times New Roman"/>
          <w:noProof/>
          <w:sz w:val="24"/>
          <w:szCs w:val="24"/>
        </w:rPr>
        <w:t xml:space="preserve">top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three highest richness or the </w:t>
      </w:r>
      <w:r w:rsidR="001867AC">
        <w:rPr>
          <w:rFonts w:ascii="Times New Roman" w:hAnsi="Times New Roman" w:cs="Times New Roman"/>
          <w:noProof/>
          <w:sz w:val="24"/>
          <w:szCs w:val="24"/>
        </w:rPr>
        <w:t xml:space="preserve">bottom </w:t>
      </w:r>
      <w:r>
        <w:rPr>
          <w:rFonts w:ascii="Times New Roman" w:hAnsi="Times New Roman" w:cs="Times New Roman"/>
          <w:noProof/>
          <w:sz w:val="24"/>
          <w:szCs w:val="24"/>
        </w:rPr>
        <w:t>three lowest richness. Vertical line: the number of sampled sequences normallized to compare richness; horizontal line: estimated number of genus by rarefaction at the same number of sampled DNA sequences.</w:t>
      </w:r>
      <w:r w:rsidR="008900D6">
        <w:rPr>
          <w:rFonts w:ascii="Times New Roman" w:hAnsi="Times New Roman" w:cs="Times New Roman"/>
          <w:noProof/>
          <w:sz w:val="24"/>
          <w:szCs w:val="24"/>
        </w:rPr>
        <w:t xml:space="preserve"> Overlapping labels indicate the similar level of richness.</w:t>
      </w:r>
      <w:r w:rsidR="005C4595">
        <w:br w:type="page"/>
      </w:r>
    </w:p>
    <w:p w14:paraId="11B7309B" w14:textId="77777777" w:rsidR="001624CB" w:rsidRDefault="001624CB">
      <w:r w:rsidRPr="001624CB">
        <w:rPr>
          <w:noProof/>
        </w:rPr>
        <w:lastRenderedPageBreak/>
        <w:drawing>
          <wp:inline distT="0" distB="0" distL="0" distR="0" wp14:anchorId="2262E707" wp14:editId="73225EBF">
            <wp:extent cx="5566867" cy="416465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0504" cy="41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0656D" w14:textId="1FE3AA64" w:rsidR="00245692" w:rsidRPr="00FE3B7D" w:rsidRDefault="001624CB">
      <w:pPr>
        <w:rPr>
          <w:rFonts w:ascii="Times New Roman" w:hAnsi="Times New Roman" w:cs="Times New Roman"/>
          <w:sz w:val="24"/>
          <w:szCs w:val="24"/>
        </w:rPr>
      </w:pPr>
      <w:r w:rsidRPr="00FE3B7D">
        <w:rPr>
          <w:rFonts w:ascii="Times New Roman" w:hAnsi="Times New Roman" w:cs="Times New Roman"/>
          <w:sz w:val="24"/>
          <w:szCs w:val="24"/>
        </w:rPr>
        <w:t xml:space="preserve">Supplemental Figure </w:t>
      </w:r>
      <w:r w:rsidR="00A1501A">
        <w:rPr>
          <w:rFonts w:ascii="Times New Roman" w:hAnsi="Times New Roman" w:cs="Times New Roman"/>
          <w:sz w:val="24"/>
          <w:szCs w:val="24"/>
        </w:rPr>
        <w:t>6</w:t>
      </w:r>
      <w:r w:rsidRPr="00FE3B7D">
        <w:rPr>
          <w:rFonts w:ascii="Times New Roman" w:hAnsi="Times New Roman" w:cs="Times New Roman"/>
          <w:sz w:val="24"/>
          <w:szCs w:val="24"/>
        </w:rPr>
        <w:t>. Rarefied genus accumulation curves for the four clusters of dendrogram.</w:t>
      </w:r>
    </w:p>
    <w:p w14:paraId="44CFEC80" w14:textId="77777777" w:rsidR="00245692" w:rsidRDefault="00245692">
      <w:r>
        <w:br w:type="page"/>
      </w:r>
    </w:p>
    <w:p w14:paraId="77B0C589" w14:textId="77777777" w:rsidR="00245692" w:rsidRDefault="00245692" w:rsidP="00245692">
      <w:r w:rsidRPr="005C4595">
        <w:rPr>
          <w:noProof/>
        </w:rPr>
        <w:lastRenderedPageBreak/>
        <w:drawing>
          <wp:inline distT="0" distB="0" distL="0" distR="0" wp14:anchorId="5BE61520" wp14:editId="4F2C3DA7">
            <wp:extent cx="5522976" cy="414113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58127" cy="416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70D35" w14:textId="0CA5D5F8" w:rsidR="00245692" w:rsidRPr="00EC6A5A" w:rsidRDefault="00245692" w:rsidP="00245692">
      <w:pPr>
        <w:rPr>
          <w:rFonts w:ascii="Times New Roman" w:hAnsi="Times New Roman" w:cs="Times New Roman"/>
          <w:sz w:val="24"/>
          <w:szCs w:val="24"/>
        </w:rPr>
      </w:pPr>
      <w:r w:rsidRPr="00EC6A5A">
        <w:rPr>
          <w:rFonts w:ascii="Times New Roman" w:hAnsi="Times New Roman" w:cs="Times New Roman"/>
          <w:sz w:val="24"/>
          <w:szCs w:val="24"/>
        </w:rPr>
        <w:t xml:space="preserve">Supplemental Figure </w:t>
      </w:r>
      <w:r w:rsidR="00A1501A">
        <w:rPr>
          <w:rFonts w:ascii="Times New Roman" w:hAnsi="Times New Roman" w:cs="Times New Roman"/>
          <w:sz w:val="24"/>
          <w:szCs w:val="24"/>
        </w:rPr>
        <w:t>7</w:t>
      </w:r>
      <w:r w:rsidRPr="00EC6A5A">
        <w:rPr>
          <w:rFonts w:ascii="Times New Roman" w:hAnsi="Times New Roman" w:cs="Times New Roman"/>
          <w:sz w:val="24"/>
          <w:szCs w:val="24"/>
        </w:rPr>
        <w:t xml:space="preserve">. Distribution of average damage score for the four groups of schools by location. Red dot denotes mean value. Each box plot shows </w:t>
      </w:r>
      <w:r w:rsidR="00836F95">
        <w:rPr>
          <w:rFonts w:ascii="Times New Roman" w:hAnsi="Times New Roman" w:cs="Times New Roman"/>
          <w:sz w:val="24"/>
          <w:szCs w:val="24"/>
        </w:rPr>
        <w:t>[</w:t>
      </w:r>
      <w:r w:rsidRPr="00EC6A5A">
        <w:rPr>
          <w:rFonts w:ascii="Times New Roman" w:hAnsi="Times New Roman" w:cs="Times New Roman"/>
          <w:sz w:val="24"/>
          <w:szCs w:val="24"/>
        </w:rPr>
        <w:t>median-1.5×(interquartile range, IQR)</w:t>
      </w:r>
      <w:r w:rsidR="00836F95">
        <w:rPr>
          <w:rFonts w:ascii="Times New Roman" w:hAnsi="Times New Roman" w:cs="Times New Roman"/>
          <w:sz w:val="24"/>
          <w:szCs w:val="24"/>
        </w:rPr>
        <w:t>]</w:t>
      </w:r>
      <w:r w:rsidRPr="00EC6A5A">
        <w:rPr>
          <w:rFonts w:ascii="Times New Roman" w:hAnsi="Times New Roman" w:cs="Times New Roman"/>
          <w:sz w:val="24"/>
          <w:szCs w:val="24"/>
        </w:rPr>
        <w:t>, 25</w:t>
      </w:r>
      <w:r w:rsidRPr="00EC6A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6A5A">
        <w:rPr>
          <w:rFonts w:ascii="Times New Roman" w:hAnsi="Times New Roman" w:cs="Times New Roman"/>
          <w:sz w:val="24"/>
          <w:szCs w:val="24"/>
        </w:rPr>
        <w:t xml:space="preserve"> percentile, median (thicker horizontal line within the box), 75</w:t>
      </w:r>
      <w:r w:rsidRPr="00EC6A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6A5A">
        <w:rPr>
          <w:rFonts w:ascii="Times New Roman" w:hAnsi="Times New Roman" w:cs="Times New Roman"/>
          <w:sz w:val="24"/>
          <w:szCs w:val="24"/>
        </w:rPr>
        <w:t xml:space="preserve"> percentile, and </w:t>
      </w:r>
      <w:r w:rsidR="00836F95">
        <w:rPr>
          <w:rFonts w:ascii="Times New Roman" w:hAnsi="Times New Roman" w:cs="Times New Roman"/>
          <w:sz w:val="24"/>
          <w:szCs w:val="24"/>
        </w:rPr>
        <w:t>[</w:t>
      </w:r>
      <w:r w:rsidRPr="00EC6A5A">
        <w:rPr>
          <w:rFonts w:ascii="Times New Roman" w:hAnsi="Times New Roman" w:cs="Times New Roman"/>
          <w:sz w:val="24"/>
          <w:szCs w:val="24"/>
        </w:rPr>
        <w:t>median+1.5×(IQR)</w:t>
      </w:r>
      <w:r w:rsidR="00836F95">
        <w:rPr>
          <w:rFonts w:ascii="Times New Roman" w:hAnsi="Times New Roman" w:cs="Times New Roman"/>
          <w:sz w:val="24"/>
          <w:szCs w:val="24"/>
        </w:rPr>
        <w:t>]</w:t>
      </w:r>
      <w:r w:rsidRPr="00EC6A5A">
        <w:rPr>
          <w:rFonts w:ascii="Times New Roman" w:hAnsi="Times New Roman" w:cs="Times New Roman"/>
          <w:sz w:val="24"/>
          <w:szCs w:val="24"/>
        </w:rPr>
        <w:t xml:space="preserve">. IQR </w:t>
      </w:r>
      <w:r w:rsidR="00836F95">
        <w:rPr>
          <w:rFonts w:ascii="Times New Roman" w:hAnsi="Times New Roman" w:cs="Times New Roman"/>
          <w:sz w:val="24"/>
          <w:szCs w:val="24"/>
        </w:rPr>
        <w:t>was</w:t>
      </w:r>
      <w:r w:rsidRPr="00EC6A5A">
        <w:rPr>
          <w:rFonts w:ascii="Times New Roman" w:hAnsi="Times New Roman" w:cs="Times New Roman"/>
          <w:sz w:val="24"/>
          <w:szCs w:val="24"/>
        </w:rPr>
        <w:t xml:space="preserve"> defined as (75</w:t>
      </w:r>
      <w:r w:rsidRPr="00EC6A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6A5A">
        <w:rPr>
          <w:rFonts w:ascii="Times New Roman" w:hAnsi="Times New Roman" w:cs="Times New Roman"/>
          <w:sz w:val="24"/>
          <w:szCs w:val="24"/>
        </w:rPr>
        <w:t xml:space="preserve"> percentile)-(25</w:t>
      </w:r>
      <w:r w:rsidRPr="00EC6A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6A5A">
        <w:rPr>
          <w:rFonts w:ascii="Times New Roman" w:hAnsi="Times New Roman" w:cs="Times New Roman"/>
          <w:sz w:val="24"/>
          <w:szCs w:val="24"/>
        </w:rPr>
        <w:t xml:space="preserve"> percentile). </w:t>
      </w:r>
      <w:r w:rsidR="00836F95">
        <w:rPr>
          <w:rFonts w:ascii="Times New Roman" w:hAnsi="Times New Roman" w:cs="Times New Roman"/>
          <w:sz w:val="24"/>
          <w:szCs w:val="24"/>
        </w:rPr>
        <w:t>Dots</w:t>
      </w:r>
      <w:r w:rsidRPr="00EC6A5A">
        <w:rPr>
          <w:rFonts w:ascii="Times New Roman" w:hAnsi="Times New Roman" w:cs="Times New Roman"/>
          <w:sz w:val="24"/>
          <w:szCs w:val="24"/>
        </w:rPr>
        <w:t xml:space="preserve"> outside the whiskers are considered outliers.</w:t>
      </w:r>
    </w:p>
    <w:p w14:paraId="64E28E95" w14:textId="77777777" w:rsidR="001624CB" w:rsidRDefault="001624CB"/>
    <w:sectPr w:rsidR="001624C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B42C" w14:textId="77777777" w:rsidR="00E079C9" w:rsidRDefault="00E079C9" w:rsidP="00A1501A">
      <w:pPr>
        <w:spacing w:after="0" w:line="240" w:lineRule="auto"/>
      </w:pPr>
      <w:r>
        <w:separator/>
      </w:r>
    </w:p>
  </w:endnote>
  <w:endnote w:type="continuationSeparator" w:id="0">
    <w:p w14:paraId="0087C839" w14:textId="77777777" w:rsidR="00E079C9" w:rsidRDefault="00E079C9" w:rsidP="00A1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0825" w14:textId="77777777" w:rsidR="00E079C9" w:rsidRDefault="00E079C9" w:rsidP="00A1501A">
      <w:pPr>
        <w:spacing w:after="0" w:line="240" w:lineRule="auto"/>
      </w:pPr>
      <w:r>
        <w:separator/>
      </w:r>
    </w:p>
  </w:footnote>
  <w:footnote w:type="continuationSeparator" w:id="0">
    <w:p w14:paraId="4B738FD8" w14:textId="77777777" w:rsidR="00E079C9" w:rsidRDefault="00E079C9" w:rsidP="00A1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15"/>
    <w:rsid w:val="001624CB"/>
    <w:rsid w:val="0017431F"/>
    <w:rsid w:val="001867AC"/>
    <w:rsid w:val="00245692"/>
    <w:rsid w:val="003016A7"/>
    <w:rsid w:val="003450CD"/>
    <w:rsid w:val="00392A2F"/>
    <w:rsid w:val="004049F3"/>
    <w:rsid w:val="005B3348"/>
    <w:rsid w:val="005C4595"/>
    <w:rsid w:val="005D1A9E"/>
    <w:rsid w:val="006C6BD1"/>
    <w:rsid w:val="00717248"/>
    <w:rsid w:val="007D3EE3"/>
    <w:rsid w:val="00836F95"/>
    <w:rsid w:val="008900D6"/>
    <w:rsid w:val="008E4FA2"/>
    <w:rsid w:val="008E6A55"/>
    <w:rsid w:val="009210D0"/>
    <w:rsid w:val="00A1501A"/>
    <w:rsid w:val="00BF0ECB"/>
    <w:rsid w:val="00C74184"/>
    <w:rsid w:val="00D26908"/>
    <w:rsid w:val="00E079C9"/>
    <w:rsid w:val="00EC6A5A"/>
    <w:rsid w:val="00F2780C"/>
    <w:rsid w:val="00FC70C6"/>
    <w:rsid w:val="00FE3B7D"/>
    <w:rsid w:val="00FF5815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1727"/>
  <w15:chartTrackingRefBased/>
  <w15:docId w15:val="{CFB5DB47-11C7-4CBD-82DB-9495792B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0C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278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AC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gzp8@cdc.gov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12" ma:contentTypeDescription="Create a new document." ma:contentTypeScope="" ma:versionID="8f3696676b0cfa12deba85a48efff239">
  <xsd:schema xmlns:xsd="http://www.w3.org/2001/XMLSchema" xmlns:xs="http://www.w3.org/2001/XMLSchema" xmlns:p="http://schemas.microsoft.com/office/2006/metadata/properties" xmlns:ns1="http://schemas.microsoft.com/sharepoint/v3" xmlns:ns3="b306ee79-2f51-4bda-a734-8653703d17c0" targetNamespace="http://schemas.microsoft.com/office/2006/metadata/properties" ma:root="true" ma:fieldsID="cbbe8a3a7752df09bf3c121f6470eb8f" ns1:_="" ns3:_="">
    <xsd:import namespace="http://schemas.microsoft.com/sharepoint/v3"/>
    <xsd:import namespace="b306ee79-2f51-4bda-a734-8653703d1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6C692-CD73-4BA6-BDC7-7908EB640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FD11A-1FC4-4EC4-8FD1-16181EBE8B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46C181-4A32-45A1-B270-BC0768219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6ee79-2f51-4bda-a734-8653703d1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Ju-Hyeong (CDC/NIOSH/RHD/FSB)</dc:creator>
  <cp:keywords/>
  <dc:description/>
  <cp:lastModifiedBy>Park, Ju-Hyeong (CDC/NIOSH/RHD/FSB)</cp:lastModifiedBy>
  <cp:revision>6</cp:revision>
  <dcterms:created xsi:type="dcterms:W3CDTF">2020-11-07T00:18:00Z</dcterms:created>
  <dcterms:modified xsi:type="dcterms:W3CDTF">2020-11-19T20:15:00Z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2020-11-06T20:04:04Z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e9df4b51-f960-421b-8bc4-b7efac8b56ea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0x010100E5F1F5ACA7D9824AAB0E713D02484050</vt:lpwstr>
  </property>
</Properties>
</file>