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E9B7C" w14:textId="6552C7E2" w:rsidR="004A0AF9" w:rsidRPr="0057321D" w:rsidRDefault="00E30486" w:rsidP="00E3048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ONLINE SUPPLEMENT FOR “IMPACT OF A COMMUNITY-BASED NALOXONE DISTRIBUTION PROGRAM ON OPIOID OVERDOSE DEATH RATES”</w:t>
      </w:r>
    </w:p>
    <w:p w14:paraId="0A215EAF" w14:textId="77777777" w:rsidR="002C342C" w:rsidRPr="0057321D" w:rsidRDefault="002C342C" w:rsidP="0057321D">
      <w:pPr>
        <w:rPr>
          <w:rFonts w:ascii="Times New Roman" w:hAnsi="Times New Roman" w:cs="Times New Roman"/>
          <w:b/>
          <w:sz w:val="24"/>
          <w:szCs w:val="24"/>
        </w:rPr>
      </w:pPr>
    </w:p>
    <w:p w14:paraId="67B7D6EC" w14:textId="0A39B450" w:rsidR="00EB45DA" w:rsidRPr="0057321D" w:rsidRDefault="00EB45DA" w:rsidP="0057321D">
      <w:pPr>
        <w:pStyle w:val="ListParagraph"/>
        <w:numPr>
          <w:ilvl w:val="0"/>
          <w:numId w:val="6"/>
        </w:numPr>
        <w:ind w:left="270" w:hanging="270"/>
        <w:rPr>
          <w:rFonts w:ascii="Times New Roman" w:hAnsi="Times New Roman" w:cs="Times New Roman"/>
          <w:b/>
          <w:sz w:val="24"/>
          <w:szCs w:val="24"/>
        </w:rPr>
      </w:pPr>
      <w:r w:rsidRPr="0057321D">
        <w:rPr>
          <w:rFonts w:ascii="Times New Roman" w:hAnsi="Times New Roman" w:cs="Times New Roman"/>
          <w:b/>
          <w:sz w:val="24"/>
          <w:szCs w:val="24"/>
        </w:rPr>
        <w:t xml:space="preserve">Cost-benefit analysis of </w:t>
      </w:r>
      <w:r w:rsidR="008A7258" w:rsidRPr="0057321D">
        <w:rPr>
          <w:rFonts w:ascii="Times New Roman" w:hAnsi="Times New Roman" w:cs="Times New Roman"/>
          <w:b/>
          <w:sz w:val="24"/>
          <w:szCs w:val="24"/>
        </w:rPr>
        <w:t xml:space="preserve">a </w:t>
      </w:r>
      <w:r w:rsidRPr="0057321D">
        <w:rPr>
          <w:rFonts w:ascii="Times New Roman" w:hAnsi="Times New Roman" w:cs="Times New Roman"/>
          <w:b/>
          <w:sz w:val="24"/>
          <w:szCs w:val="24"/>
        </w:rPr>
        <w:t>naloxone distribution program in North Carolina</w:t>
      </w:r>
    </w:p>
    <w:p w14:paraId="12BCFC78" w14:textId="77777777" w:rsidR="00EB45DA" w:rsidRPr="0057321D" w:rsidRDefault="00EB45DA" w:rsidP="0057321D">
      <w:pPr>
        <w:rPr>
          <w:rFonts w:ascii="Times New Roman" w:hAnsi="Times New Roman" w:cs="Times New Roman"/>
          <w:i/>
          <w:sz w:val="24"/>
          <w:szCs w:val="24"/>
        </w:rPr>
      </w:pPr>
      <w:r w:rsidRPr="0057321D">
        <w:rPr>
          <w:rFonts w:ascii="Times New Roman" w:hAnsi="Times New Roman" w:cs="Times New Roman"/>
          <w:i/>
          <w:sz w:val="24"/>
          <w:szCs w:val="24"/>
        </w:rPr>
        <w:t>Naloxone distribution program costs</w:t>
      </w:r>
    </w:p>
    <w:p w14:paraId="02B11035" w14:textId="58F18C02" w:rsidR="00C506FD" w:rsidRPr="0057321D" w:rsidRDefault="00693B9E" w:rsidP="00C506FD">
      <w:pPr>
        <w:ind w:firstLine="720"/>
        <w:rPr>
          <w:rFonts w:ascii="Times New Roman" w:hAnsi="Times New Roman" w:cs="Times New Roman"/>
          <w:sz w:val="24"/>
          <w:szCs w:val="24"/>
        </w:rPr>
      </w:pPr>
      <w:r w:rsidRPr="0057321D">
        <w:rPr>
          <w:rFonts w:ascii="Times New Roman" w:hAnsi="Times New Roman" w:cs="Times New Roman"/>
          <w:sz w:val="24"/>
          <w:szCs w:val="24"/>
        </w:rPr>
        <w:t>In</w:t>
      </w:r>
      <w:r w:rsidR="008D506B" w:rsidRPr="0057321D">
        <w:rPr>
          <w:rFonts w:ascii="Times New Roman" w:hAnsi="Times New Roman" w:cs="Times New Roman"/>
          <w:sz w:val="24"/>
          <w:szCs w:val="24"/>
        </w:rPr>
        <w:t xml:space="preserve"> 2015 and 201</w:t>
      </w:r>
      <w:r w:rsidRPr="0057321D">
        <w:rPr>
          <w:rFonts w:ascii="Times New Roman" w:hAnsi="Times New Roman" w:cs="Times New Roman"/>
          <w:sz w:val="24"/>
          <w:szCs w:val="24"/>
        </w:rPr>
        <w:t>6</w:t>
      </w:r>
      <w:r w:rsidR="008D506B" w:rsidRPr="0057321D">
        <w:rPr>
          <w:rFonts w:ascii="Times New Roman" w:hAnsi="Times New Roman" w:cs="Times New Roman"/>
          <w:sz w:val="24"/>
          <w:szCs w:val="24"/>
        </w:rPr>
        <w:t>, the NCHRC purchased naloxone kits at a c</w:t>
      </w:r>
      <w:r w:rsidRPr="0057321D">
        <w:rPr>
          <w:rFonts w:ascii="Times New Roman" w:hAnsi="Times New Roman" w:cs="Times New Roman"/>
          <w:sz w:val="24"/>
          <w:szCs w:val="24"/>
        </w:rPr>
        <w:t>ost of $18,000 in 2015 and</w:t>
      </w:r>
      <w:r w:rsidR="008D506B" w:rsidRPr="0057321D">
        <w:rPr>
          <w:rFonts w:ascii="Times New Roman" w:hAnsi="Times New Roman" w:cs="Times New Roman"/>
          <w:sz w:val="24"/>
          <w:szCs w:val="24"/>
        </w:rPr>
        <w:t xml:space="preserve"> $54,000 in 2016</w:t>
      </w:r>
      <w:r w:rsidR="00432E6F">
        <w:rPr>
          <w:rFonts w:ascii="Times New Roman" w:hAnsi="Times New Roman" w:cs="Times New Roman"/>
          <w:sz w:val="24"/>
          <w:szCs w:val="24"/>
        </w:rPr>
        <w:t xml:space="preserve"> (</w:t>
      </w:r>
      <w:r w:rsidR="00911A1A" w:rsidRPr="0057321D">
        <w:rPr>
          <w:rFonts w:ascii="Times New Roman" w:hAnsi="Times New Roman" w:cs="Times New Roman"/>
          <w:sz w:val="24"/>
          <w:szCs w:val="24"/>
        </w:rPr>
        <w:t xml:space="preserve">Table </w:t>
      </w:r>
      <w:r w:rsidR="00EB45DA" w:rsidRPr="0057321D">
        <w:rPr>
          <w:rFonts w:ascii="Times New Roman" w:hAnsi="Times New Roman" w:cs="Times New Roman"/>
          <w:sz w:val="24"/>
          <w:szCs w:val="24"/>
        </w:rPr>
        <w:t>S1</w:t>
      </w:r>
      <w:r w:rsidR="00911A1A" w:rsidRPr="0057321D">
        <w:rPr>
          <w:rFonts w:ascii="Times New Roman" w:hAnsi="Times New Roman" w:cs="Times New Roman"/>
          <w:sz w:val="24"/>
          <w:szCs w:val="24"/>
        </w:rPr>
        <w:t>)</w:t>
      </w:r>
      <w:r w:rsidR="008D506B" w:rsidRPr="0057321D">
        <w:rPr>
          <w:rFonts w:ascii="Times New Roman" w:hAnsi="Times New Roman" w:cs="Times New Roman"/>
          <w:sz w:val="24"/>
          <w:szCs w:val="24"/>
        </w:rPr>
        <w:t>. Based on the number of kits distributed in 2015 and 2016, the average per unit pric</w:t>
      </w:r>
      <w:r w:rsidR="00B16C33" w:rsidRPr="0057321D">
        <w:rPr>
          <w:rFonts w:ascii="Times New Roman" w:hAnsi="Times New Roman" w:cs="Times New Roman"/>
          <w:sz w:val="24"/>
          <w:szCs w:val="24"/>
        </w:rPr>
        <w:t>e of a naloxone kit was</w:t>
      </w:r>
      <w:r w:rsidR="009566E3" w:rsidRPr="0057321D">
        <w:rPr>
          <w:rFonts w:ascii="Times New Roman" w:hAnsi="Times New Roman" w:cs="Times New Roman"/>
          <w:sz w:val="24"/>
          <w:szCs w:val="24"/>
        </w:rPr>
        <w:t xml:space="preserve"> approximately</w:t>
      </w:r>
      <w:r w:rsidR="00B16C33" w:rsidRPr="0057321D">
        <w:rPr>
          <w:rFonts w:ascii="Times New Roman" w:hAnsi="Times New Roman" w:cs="Times New Roman"/>
          <w:sz w:val="24"/>
          <w:szCs w:val="24"/>
        </w:rPr>
        <w:t xml:space="preserve"> $2/kit. </w:t>
      </w:r>
      <w:r w:rsidR="00C506FD" w:rsidRPr="0057321D">
        <w:rPr>
          <w:rFonts w:ascii="Times New Roman" w:hAnsi="Times New Roman" w:cs="Times New Roman"/>
          <w:sz w:val="24"/>
          <w:szCs w:val="24"/>
        </w:rPr>
        <w:t xml:space="preserve">While the NCHRC did not collect data on the personal distribution or training costs associated with the naloxone distribution program, Coffin &amp; Sullivan (2013) estimated the cost of naloxone kit distribution to be approximately $25 ($12=cost of naloxone; $3=cost of other components, and $10=staff time/training/distribution costs). As such, we increased the cost of naloxone distribution in NC by $10, assuming the cost of other components is accounted for in the reported NCHRC costs. In what follows, we assume that a distributed naloxone kit costs NCHRC approximately $12/kit. Therefore, we estimate that in addition to the $72,000 spent on naloxone kits between 2015 and 2016, an additional $337,200 may have also been incurred from distribution of naloxone, for a total of $409,200 across those two years. </w:t>
      </w:r>
    </w:p>
    <w:p w14:paraId="4679F23C" w14:textId="3CAE3C06" w:rsidR="00FC4E94" w:rsidRPr="0057321D" w:rsidRDefault="00EB45DA" w:rsidP="0057321D">
      <w:pPr>
        <w:rPr>
          <w:rFonts w:ascii="Times New Roman" w:hAnsi="Times New Roman" w:cs="Times New Roman"/>
          <w:b/>
          <w:sz w:val="24"/>
          <w:szCs w:val="24"/>
        </w:rPr>
      </w:pPr>
      <w:r w:rsidRPr="0057321D">
        <w:rPr>
          <w:rFonts w:ascii="Times New Roman" w:hAnsi="Times New Roman" w:cs="Times New Roman"/>
          <w:b/>
          <w:sz w:val="24"/>
          <w:szCs w:val="24"/>
        </w:rPr>
        <w:t>Table S1.</w:t>
      </w:r>
      <w:r w:rsidR="00FC4E94" w:rsidRPr="0057321D">
        <w:rPr>
          <w:rFonts w:ascii="Times New Roman" w:hAnsi="Times New Roman" w:cs="Times New Roman"/>
          <w:b/>
          <w:sz w:val="24"/>
          <w:szCs w:val="24"/>
        </w:rPr>
        <w:t xml:space="preserve"> </w:t>
      </w:r>
      <w:r w:rsidRPr="0057321D">
        <w:rPr>
          <w:rFonts w:ascii="Times New Roman" w:hAnsi="Times New Roman" w:cs="Times New Roman"/>
          <w:sz w:val="24"/>
          <w:szCs w:val="24"/>
        </w:rPr>
        <w:t>Naloxone</w:t>
      </w:r>
      <w:r w:rsidR="00432E6F">
        <w:rPr>
          <w:rFonts w:ascii="Times New Roman" w:hAnsi="Times New Roman" w:cs="Times New Roman"/>
          <w:sz w:val="24"/>
          <w:szCs w:val="24"/>
        </w:rPr>
        <w:t xml:space="preserve"> distribution program</w:t>
      </w:r>
      <w:r w:rsidRPr="0057321D">
        <w:rPr>
          <w:rFonts w:ascii="Times New Roman" w:hAnsi="Times New Roman" w:cs="Times New Roman"/>
          <w:sz w:val="24"/>
          <w:szCs w:val="24"/>
        </w:rPr>
        <w:t xml:space="preserve"> c</w:t>
      </w:r>
      <w:r w:rsidR="00FC4E94" w:rsidRPr="0057321D">
        <w:rPr>
          <w:rFonts w:ascii="Times New Roman" w:hAnsi="Times New Roman" w:cs="Times New Roman"/>
          <w:sz w:val="24"/>
          <w:szCs w:val="24"/>
        </w:rPr>
        <w:t>osts to N</w:t>
      </w:r>
      <w:r w:rsidRPr="0057321D">
        <w:rPr>
          <w:rFonts w:ascii="Times New Roman" w:hAnsi="Times New Roman" w:cs="Times New Roman"/>
          <w:sz w:val="24"/>
          <w:szCs w:val="24"/>
        </w:rPr>
        <w:t>orth Carolina Harm Reduction Coalition</w:t>
      </w:r>
      <w:r w:rsidR="00FC4E94" w:rsidRPr="0057321D">
        <w:rPr>
          <w:rFonts w:ascii="Times New Roman" w:hAnsi="Times New Roman" w:cs="Times New Roman"/>
          <w:sz w:val="24"/>
          <w:szCs w:val="24"/>
        </w:rPr>
        <w:t>, 2015-201</w:t>
      </w:r>
      <w:r w:rsidR="00030715" w:rsidRPr="0057321D">
        <w:rPr>
          <w:rFonts w:ascii="Times New Roman" w:hAnsi="Times New Roman" w:cs="Times New Roman"/>
          <w:sz w:val="24"/>
          <w:szCs w:val="24"/>
        </w:rPr>
        <w:t>6</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620"/>
        <w:gridCol w:w="1441"/>
        <w:gridCol w:w="2610"/>
        <w:gridCol w:w="1799"/>
        <w:gridCol w:w="2068"/>
        <w:gridCol w:w="2341"/>
      </w:tblGrid>
      <w:tr w:rsidR="00810257" w:rsidRPr="0057321D" w14:paraId="392A79C9" w14:textId="77777777" w:rsidTr="00810257">
        <w:tc>
          <w:tcPr>
            <w:tcW w:w="417" w:type="pct"/>
            <w:tcBorders>
              <w:top w:val="single" w:sz="4" w:space="0" w:color="auto"/>
              <w:bottom w:val="single" w:sz="4" w:space="0" w:color="auto"/>
            </w:tcBorders>
            <w:vAlign w:val="bottom"/>
          </w:tcPr>
          <w:p w14:paraId="4F4EB233" w14:textId="076D475A" w:rsidR="00A661D0" w:rsidRPr="0057321D" w:rsidRDefault="00693B9E" w:rsidP="0057321D">
            <w:pPr>
              <w:pStyle w:val="ListParagraph"/>
              <w:ind w:left="0"/>
              <w:rPr>
                <w:rFonts w:ascii="Times New Roman" w:hAnsi="Times New Roman" w:cs="Times New Roman"/>
                <w:b/>
                <w:sz w:val="24"/>
                <w:szCs w:val="24"/>
              </w:rPr>
            </w:pPr>
            <w:r w:rsidRPr="0057321D">
              <w:rPr>
                <w:rFonts w:ascii="Times New Roman" w:hAnsi="Times New Roman" w:cs="Times New Roman"/>
                <w:b/>
                <w:sz w:val="24"/>
                <w:szCs w:val="24"/>
              </w:rPr>
              <w:t>Year</w:t>
            </w:r>
          </w:p>
        </w:tc>
        <w:tc>
          <w:tcPr>
            <w:tcW w:w="625" w:type="pct"/>
            <w:tcBorders>
              <w:top w:val="single" w:sz="4" w:space="0" w:color="auto"/>
              <w:bottom w:val="single" w:sz="4" w:space="0" w:color="auto"/>
            </w:tcBorders>
            <w:vAlign w:val="bottom"/>
          </w:tcPr>
          <w:p w14:paraId="2A93B761" w14:textId="4706B0A9" w:rsidR="00A661D0" w:rsidRPr="0057321D" w:rsidRDefault="00030715" w:rsidP="0057321D">
            <w:pPr>
              <w:pStyle w:val="ListParagraph"/>
              <w:ind w:left="0"/>
              <w:rPr>
                <w:rFonts w:ascii="Times New Roman" w:hAnsi="Times New Roman" w:cs="Times New Roman"/>
                <w:b/>
                <w:sz w:val="24"/>
                <w:szCs w:val="24"/>
              </w:rPr>
            </w:pPr>
            <w:r w:rsidRPr="0057321D">
              <w:rPr>
                <w:rFonts w:ascii="Times New Roman" w:hAnsi="Times New Roman" w:cs="Times New Roman"/>
                <w:b/>
                <w:sz w:val="24"/>
                <w:szCs w:val="24"/>
              </w:rPr>
              <w:t>C</w:t>
            </w:r>
            <w:r w:rsidR="00A661D0" w:rsidRPr="0057321D">
              <w:rPr>
                <w:rFonts w:ascii="Times New Roman" w:hAnsi="Times New Roman" w:cs="Times New Roman"/>
                <w:b/>
                <w:sz w:val="24"/>
                <w:szCs w:val="24"/>
              </w:rPr>
              <w:t>ost of</w:t>
            </w:r>
            <w:r w:rsidR="00693B9E" w:rsidRPr="0057321D">
              <w:rPr>
                <w:rFonts w:ascii="Times New Roman" w:hAnsi="Times New Roman" w:cs="Times New Roman"/>
                <w:b/>
                <w:sz w:val="24"/>
                <w:szCs w:val="24"/>
              </w:rPr>
              <w:t xml:space="preserve"> naloxone</w:t>
            </w:r>
            <w:r w:rsidR="00A661D0" w:rsidRPr="0057321D">
              <w:rPr>
                <w:rFonts w:ascii="Times New Roman" w:hAnsi="Times New Roman" w:cs="Times New Roman"/>
                <w:b/>
                <w:sz w:val="24"/>
                <w:szCs w:val="24"/>
              </w:rPr>
              <w:t xml:space="preserve"> kits</w:t>
            </w:r>
          </w:p>
        </w:tc>
        <w:tc>
          <w:tcPr>
            <w:tcW w:w="556" w:type="pct"/>
            <w:tcBorders>
              <w:top w:val="single" w:sz="4" w:space="0" w:color="auto"/>
              <w:bottom w:val="single" w:sz="4" w:space="0" w:color="auto"/>
            </w:tcBorders>
            <w:vAlign w:val="bottom"/>
          </w:tcPr>
          <w:p w14:paraId="7FEED203" w14:textId="0CA19C1C" w:rsidR="00A661D0" w:rsidRPr="0057321D" w:rsidRDefault="00693B9E" w:rsidP="0057321D">
            <w:pPr>
              <w:pStyle w:val="ListParagraph"/>
              <w:ind w:left="0"/>
              <w:rPr>
                <w:rFonts w:ascii="Times New Roman" w:hAnsi="Times New Roman" w:cs="Times New Roman"/>
                <w:b/>
                <w:sz w:val="24"/>
                <w:szCs w:val="24"/>
              </w:rPr>
            </w:pPr>
            <w:r w:rsidRPr="0057321D">
              <w:rPr>
                <w:rFonts w:ascii="Times New Roman" w:hAnsi="Times New Roman" w:cs="Times New Roman"/>
                <w:b/>
                <w:sz w:val="24"/>
                <w:szCs w:val="24"/>
              </w:rPr>
              <w:t>Average cost per k</w:t>
            </w:r>
            <w:r w:rsidR="00A661D0" w:rsidRPr="0057321D">
              <w:rPr>
                <w:rFonts w:ascii="Times New Roman" w:hAnsi="Times New Roman" w:cs="Times New Roman"/>
                <w:b/>
                <w:sz w:val="24"/>
                <w:szCs w:val="24"/>
              </w:rPr>
              <w:t>it</w:t>
            </w:r>
          </w:p>
        </w:tc>
        <w:tc>
          <w:tcPr>
            <w:tcW w:w="1007" w:type="pct"/>
            <w:tcBorders>
              <w:top w:val="single" w:sz="4" w:space="0" w:color="auto"/>
              <w:bottom w:val="single" w:sz="4" w:space="0" w:color="auto"/>
            </w:tcBorders>
            <w:vAlign w:val="bottom"/>
          </w:tcPr>
          <w:p w14:paraId="07FBABC3" w14:textId="025506C1" w:rsidR="00A661D0" w:rsidRPr="0057321D" w:rsidRDefault="006D6627" w:rsidP="0057321D">
            <w:pPr>
              <w:pStyle w:val="ListParagraph"/>
              <w:ind w:left="0"/>
              <w:rPr>
                <w:rFonts w:ascii="Times New Roman" w:hAnsi="Times New Roman" w:cs="Times New Roman"/>
                <w:b/>
                <w:sz w:val="24"/>
                <w:szCs w:val="24"/>
              </w:rPr>
            </w:pPr>
            <w:r w:rsidRPr="0057321D">
              <w:rPr>
                <w:rFonts w:ascii="Times New Roman" w:hAnsi="Times New Roman" w:cs="Times New Roman"/>
                <w:b/>
                <w:sz w:val="24"/>
                <w:szCs w:val="24"/>
              </w:rPr>
              <w:t xml:space="preserve">Estimated </w:t>
            </w:r>
            <w:r w:rsidR="00693B9E" w:rsidRPr="0057321D">
              <w:rPr>
                <w:rFonts w:ascii="Times New Roman" w:hAnsi="Times New Roman" w:cs="Times New Roman"/>
                <w:b/>
                <w:sz w:val="24"/>
                <w:szCs w:val="24"/>
              </w:rPr>
              <w:t xml:space="preserve">distribution cost per </w:t>
            </w:r>
            <w:r w:rsidR="00A661D0" w:rsidRPr="0057321D">
              <w:rPr>
                <w:rFonts w:ascii="Times New Roman" w:hAnsi="Times New Roman" w:cs="Times New Roman"/>
                <w:b/>
                <w:sz w:val="24"/>
                <w:szCs w:val="24"/>
              </w:rPr>
              <w:t>kit</w:t>
            </w:r>
          </w:p>
        </w:tc>
        <w:tc>
          <w:tcPr>
            <w:tcW w:w="694" w:type="pct"/>
            <w:tcBorders>
              <w:top w:val="single" w:sz="4" w:space="0" w:color="auto"/>
              <w:bottom w:val="single" w:sz="4" w:space="0" w:color="auto"/>
            </w:tcBorders>
            <w:vAlign w:val="bottom"/>
          </w:tcPr>
          <w:p w14:paraId="5CF91641" w14:textId="17D7CB63" w:rsidR="00A661D0" w:rsidRPr="0057321D" w:rsidRDefault="006D6627" w:rsidP="0057321D">
            <w:pPr>
              <w:pStyle w:val="ListParagraph"/>
              <w:ind w:left="0"/>
              <w:rPr>
                <w:rFonts w:ascii="Times New Roman" w:hAnsi="Times New Roman" w:cs="Times New Roman"/>
                <w:b/>
                <w:sz w:val="24"/>
                <w:szCs w:val="24"/>
              </w:rPr>
            </w:pPr>
            <w:r w:rsidRPr="0057321D">
              <w:rPr>
                <w:rFonts w:ascii="Times New Roman" w:hAnsi="Times New Roman" w:cs="Times New Roman"/>
                <w:b/>
                <w:sz w:val="24"/>
                <w:szCs w:val="24"/>
              </w:rPr>
              <w:t>E</w:t>
            </w:r>
            <w:r w:rsidR="00693B9E" w:rsidRPr="0057321D">
              <w:rPr>
                <w:rFonts w:ascii="Times New Roman" w:hAnsi="Times New Roman" w:cs="Times New Roman"/>
                <w:b/>
                <w:sz w:val="24"/>
                <w:szCs w:val="24"/>
              </w:rPr>
              <w:t>stimated total</w:t>
            </w:r>
            <w:r w:rsidR="00573413" w:rsidRPr="0057321D">
              <w:rPr>
                <w:rFonts w:ascii="Times New Roman" w:hAnsi="Times New Roman" w:cs="Times New Roman"/>
                <w:b/>
                <w:sz w:val="24"/>
                <w:szCs w:val="24"/>
              </w:rPr>
              <w:t xml:space="preserve"> </w:t>
            </w:r>
            <w:r w:rsidR="00693B9E" w:rsidRPr="0057321D">
              <w:rPr>
                <w:rFonts w:ascii="Times New Roman" w:hAnsi="Times New Roman" w:cs="Times New Roman"/>
                <w:b/>
                <w:sz w:val="24"/>
                <w:szCs w:val="24"/>
              </w:rPr>
              <w:t>c</w:t>
            </w:r>
            <w:r w:rsidR="00A661D0" w:rsidRPr="0057321D">
              <w:rPr>
                <w:rFonts w:ascii="Times New Roman" w:hAnsi="Times New Roman" w:cs="Times New Roman"/>
                <w:b/>
                <w:sz w:val="24"/>
                <w:szCs w:val="24"/>
              </w:rPr>
              <w:t xml:space="preserve">ost </w:t>
            </w:r>
            <w:r w:rsidR="00693B9E" w:rsidRPr="0057321D">
              <w:rPr>
                <w:rFonts w:ascii="Times New Roman" w:hAnsi="Times New Roman" w:cs="Times New Roman"/>
                <w:b/>
                <w:sz w:val="24"/>
                <w:szCs w:val="24"/>
              </w:rPr>
              <w:t>per</w:t>
            </w:r>
            <w:r w:rsidR="00A661D0" w:rsidRPr="0057321D">
              <w:rPr>
                <w:rFonts w:ascii="Times New Roman" w:hAnsi="Times New Roman" w:cs="Times New Roman"/>
                <w:b/>
                <w:sz w:val="24"/>
                <w:szCs w:val="24"/>
              </w:rPr>
              <w:t xml:space="preserve"> kit</w:t>
            </w:r>
          </w:p>
        </w:tc>
        <w:tc>
          <w:tcPr>
            <w:tcW w:w="798" w:type="pct"/>
            <w:tcBorders>
              <w:top w:val="single" w:sz="4" w:space="0" w:color="auto"/>
              <w:bottom w:val="single" w:sz="4" w:space="0" w:color="auto"/>
            </w:tcBorders>
            <w:vAlign w:val="bottom"/>
          </w:tcPr>
          <w:p w14:paraId="5AD7A137" w14:textId="12DA4C7B" w:rsidR="00A661D0" w:rsidRPr="0057321D" w:rsidRDefault="00A661D0" w:rsidP="0057321D">
            <w:pPr>
              <w:pStyle w:val="ListParagraph"/>
              <w:ind w:left="0"/>
              <w:rPr>
                <w:rFonts w:ascii="Times New Roman" w:hAnsi="Times New Roman" w:cs="Times New Roman"/>
                <w:b/>
                <w:sz w:val="24"/>
                <w:szCs w:val="24"/>
              </w:rPr>
            </w:pPr>
            <w:r w:rsidRPr="0057321D">
              <w:rPr>
                <w:rFonts w:ascii="Times New Roman" w:hAnsi="Times New Roman" w:cs="Times New Roman"/>
                <w:b/>
                <w:sz w:val="24"/>
                <w:szCs w:val="24"/>
              </w:rPr>
              <w:t xml:space="preserve">Estimated </w:t>
            </w:r>
            <w:r w:rsidR="00810257">
              <w:rPr>
                <w:rFonts w:ascii="Times New Roman" w:hAnsi="Times New Roman" w:cs="Times New Roman"/>
                <w:b/>
                <w:sz w:val="24"/>
                <w:szCs w:val="24"/>
              </w:rPr>
              <w:t xml:space="preserve">total </w:t>
            </w:r>
            <w:r w:rsidR="00693B9E" w:rsidRPr="0057321D">
              <w:rPr>
                <w:rFonts w:ascii="Times New Roman" w:hAnsi="Times New Roman" w:cs="Times New Roman"/>
                <w:b/>
                <w:sz w:val="24"/>
                <w:szCs w:val="24"/>
              </w:rPr>
              <w:t>distribution c</w:t>
            </w:r>
            <w:r w:rsidRPr="0057321D">
              <w:rPr>
                <w:rFonts w:ascii="Times New Roman" w:hAnsi="Times New Roman" w:cs="Times New Roman"/>
                <w:b/>
                <w:sz w:val="24"/>
                <w:szCs w:val="24"/>
              </w:rPr>
              <w:t>ost</w:t>
            </w:r>
            <w:r w:rsidR="00693B9E" w:rsidRPr="0057321D">
              <w:rPr>
                <w:rFonts w:ascii="Times New Roman" w:hAnsi="Times New Roman" w:cs="Times New Roman"/>
                <w:b/>
                <w:sz w:val="24"/>
                <w:szCs w:val="24"/>
              </w:rPr>
              <w:t>s</w:t>
            </w:r>
          </w:p>
        </w:tc>
        <w:tc>
          <w:tcPr>
            <w:tcW w:w="903" w:type="pct"/>
            <w:tcBorders>
              <w:top w:val="single" w:sz="4" w:space="0" w:color="auto"/>
              <w:bottom w:val="single" w:sz="4" w:space="0" w:color="auto"/>
            </w:tcBorders>
            <w:vAlign w:val="bottom"/>
          </w:tcPr>
          <w:p w14:paraId="1D50A083" w14:textId="6C8995A6" w:rsidR="00A661D0" w:rsidRPr="0057321D" w:rsidRDefault="00231BFD" w:rsidP="0057321D">
            <w:pPr>
              <w:pStyle w:val="ListParagraph"/>
              <w:ind w:left="0"/>
              <w:rPr>
                <w:rFonts w:ascii="Times New Roman" w:hAnsi="Times New Roman" w:cs="Times New Roman"/>
                <w:b/>
                <w:sz w:val="24"/>
                <w:szCs w:val="24"/>
              </w:rPr>
            </w:pPr>
            <w:r w:rsidRPr="0057321D">
              <w:rPr>
                <w:rFonts w:ascii="Times New Roman" w:hAnsi="Times New Roman" w:cs="Times New Roman"/>
                <w:b/>
                <w:sz w:val="24"/>
                <w:szCs w:val="24"/>
              </w:rPr>
              <w:t xml:space="preserve">Estimated </w:t>
            </w:r>
            <w:r w:rsidR="00693B9E" w:rsidRPr="0057321D">
              <w:rPr>
                <w:rFonts w:ascii="Times New Roman" w:hAnsi="Times New Roman" w:cs="Times New Roman"/>
                <w:b/>
                <w:sz w:val="24"/>
                <w:szCs w:val="24"/>
              </w:rPr>
              <w:t xml:space="preserve">total costs of </w:t>
            </w:r>
            <w:r w:rsidR="00810257">
              <w:rPr>
                <w:rFonts w:ascii="Times New Roman" w:hAnsi="Times New Roman" w:cs="Times New Roman"/>
                <w:b/>
                <w:sz w:val="24"/>
                <w:szCs w:val="24"/>
              </w:rPr>
              <w:t xml:space="preserve">distributed </w:t>
            </w:r>
            <w:r w:rsidR="00693B9E" w:rsidRPr="0057321D">
              <w:rPr>
                <w:rFonts w:ascii="Times New Roman" w:hAnsi="Times New Roman" w:cs="Times New Roman"/>
                <w:b/>
                <w:sz w:val="24"/>
                <w:szCs w:val="24"/>
              </w:rPr>
              <w:t>kits</w:t>
            </w:r>
          </w:p>
        </w:tc>
      </w:tr>
      <w:tr w:rsidR="00810257" w:rsidRPr="0057321D" w14:paraId="754A4960" w14:textId="77777777" w:rsidTr="00810257">
        <w:tc>
          <w:tcPr>
            <w:tcW w:w="417" w:type="pct"/>
            <w:tcBorders>
              <w:top w:val="single" w:sz="4" w:space="0" w:color="auto"/>
              <w:bottom w:val="nil"/>
            </w:tcBorders>
          </w:tcPr>
          <w:p w14:paraId="2D8EF6B4"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2015</w:t>
            </w:r>
          </w:p>
        </w:tc>
        <w:tc>
          <w:tcPr>
            <w:tcW w:w="625" w:type="pct"/>
            <w:tcBorders>
              <w:top w:val="single" w:sz="4" w:space="0" w:color="auto"/>
              <w:bottom w:val="nil"/>
            </w:tcBorders>
            <w:vAlign w:val="bottom"/>
          </w:tcPr>
          <w:p w14:paraId="609B1355" w14:textId="355868A1"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color w:val="000000"/>
                <w:sz w:val="24"/>
                <w:szCs w:val="24"/>
              </w:rPr>
              <w:t>$18,000</w:t>
            </w:r>
          </w:p>
        </w:tc>
        <w:tc>
          <w:tcPr>
            <w:tcW w:w="556" w:type="pct"/>
            <w:tcBorders>
              <w:top w:val="single" w:sz="4" w:space="0" w:color="auto"/>
              <w:bottom w:val="nil"/>
            </w:tcBorders>
          </w:tcPr>
          <w:p w14:paraId="384189B5"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$1.13/kit</w:t>
            </w:r>
          </w:p>
        </w:tc>
        <w:tc>
          <w:tcPr>
            <w:tcW w:w="1007" w:type="pct"/>
            <w:tcBorders>
              <w:top w:val="single" w:sz="4" w:space="0" w:color="auto"/>
              <w:bottom w:val="nil"/>
            </w:tcBorders>
          </w:tcPr>
          <w:p w14:paraId="454CB8D3"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$10/kit</w:t>
            </w:r>
          </w:p>
        </w:tc>
        <w:tc>
          <w:tcPr>
            <w:tcW w:w="694" w:type="pct"/>
            <w:tcBorders>
              <w:top w:val="single" w:sz="4" w:space="0" w:color="auto"/>
              <w:bottom w:val="nil"/>
            </w:tcBorders>
          </w:tcPr>
          <w:p w14:paraId="2B5B48DA"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$11.13/kit</w:t>
            </w:r>
          </w:p>
        </w:tc>
        <w:tc>
          <w:tcPr>
            <w:tcW w:w="798" w:type="pct"/>
            <w:tcBorders>
              <w:top w:val="single" w:sz="4" w:space="0" w:color="auto"/>
              <w:bottom w:val="nil"/>
            </w:tcBorders>
            <w:vAlign w:val="bottom"/>
          </w:tcPr>
          <w:p w14:paraId="680690A2" w14:textId="1BB2B764" w:rsidR="00263B10" w:rsidRPr="0057321D" w:rsidRDefault="00263B10" w:rsidP="0057321D">
            <w:pPr>
              <w:pStyle w:val="ListParagraph"/>
              <w:ind w:left="0"/>
              <w:rPr>
                <w:rFonts w:ascii="Times New Roman" w:hAnsi="Times New Roman" w:cs="Times New Roman"/>
                <w:color w:val="000000"/>
                <w:sz w:val="24"/>
                <w:szCs w:val="24"/>
              </w:rPr>
            </w:pPr>
            <w:r w:rsidRPr="0057321D">
              <w:rPr>
                <w:rFonts w:ascii="Times New Roman" w:hAnsi="Times New Roman" w:cs="Times New Roman"/>
                <w:color w:val="000000"/>
                <w:sz w:val="24"/>
                <w:szCs w:val="24"/>
              </w:rPr>
              <w:t>$158,740</w:t>
            </w:r>
          </w:p>
        </w:tc>
        <w:tc>
          <w:tcPr>
            <w:tcW w:w="903" w:type="pct"/>
            <w:tcBorders>
              <w:top w:val="single" w:sz="4" w:space="0" w:color="auto"/>
              <w:bottom w:val="nil"/>
            </w:tcBorders>
            <w:vAlign w:val="bottom"/>
          </w:tcPr>
          <w:p w14:paraId="5EE794F4" w14:textId="32323512"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color w:val="000000"/>
                <w:sz w:val="24"/>
                <w:szCs w:val="24"/>
              </w:rPr>
              <w:t>$176,740</w:t>
            </w:r>
          </w:p>
        </w:tc>
      </w:tr>
      <w:tr w:rsidR="00810257" w:rsidRPr="0057321D" w14:paraId="7C07C95A" w14:textId="77777777" w:rsidTr="00810257">
        <w:tc>
          <w:tcPr>
            <w:tcW w:w="417" w:type="pct"/>
            <w:tcBorders>
              <w:top w:val="nil"/>
              <w:bottom w:val="single" w:sz="4" w:space="0" w:color="auto"/>
            </w:tcBorders>
          </w:tcPr>
          <w:p w14:paraId="3DEDE7EE"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2016</w:t>
            </w:r>
          </w:p>
        </w:tc>
        <w:tc>
          <w:tcPr>
            <w:tcW w:w="625" w:type="pct"/>
            <w:tcBorders>
              <w:top w:val="nil"/>
              <w:bottom w:val="single" w:sz="4" w:space="0" w:color="auto"/>
            </w:tcBorders>
            <w:vAlign w:val="bottom"/>
          </w:tcPr>
          <w:p w14:paraId="6AE75945" w14:textId="4232E9A3"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color w:val="000000"/>
                <w:sz w:val="24"/>
                <w:szCs w:val="24"/>
              </w:rPr>
              <w:t>$54,000</w:t>
            </w:r>
          </w:p>
        </w:tc>
        <w:tc>
          <w:tcPr>
            <w:tcW w:w="556" w:type="pct"/>
            <w:tcBorders>
              <w:top w:val="nil"/>
              <w:bottom w:val="single" w:sz="4" w:space="0" w:color="auto"/>
            </w:tcBorders>
          </w:tcPr>
          <w:p w14:paraId="485894AB"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$3.03/kit</w:t>
            </w:r>
          </w:p>
        </w:tc>
        <w:tc>
          <w:tcPr>
            <w:tcW w:w="1007" w:type="pct"/>
            <w:tcBorders>
              <w:top w:val="nil"/>
              <w:bottom w:val="single" w:sz="4" w:space="0" w:color="auto"/>
            </w:tcBorders>
          </w:tcPr>
          <w:p w14:paraId="094C2D7B"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$10/kit</w:t>
            </w:r>
          </w:p>
        </w:tc>
        <w:tc>
          <w:tcPr>
            <w:tcW w:w="694" w:type="pct"/>
            <w:tcBorders>
              <w:top w:val="nil"/>
              <w:bottom w:val="single" w:sz="4" w:space="0" w:color="auto"/>
            </w:tcBorders>
          </w:tcPr>
          <w:p w14:paraId="4A79747E" w14:textId="77777777"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sz w:val="24"/>
                <w:szCs w:val="24"/>
              </w:rPr>
              <w:t>$13.03/kit</w:t>
            </w:r>
          </w:p>
        </w:tc>
        <w:tc>
          <w:tcPr>
            <w:tcW w:w="798" w:type="pct"/>
            <w:tcBorders>
              <w:top w:val="nil"/>
              <w:bottom w:val="single" w:sz="4" w:space="0" w:color="auto"/>
            </w:tcBorders>
            <w:vAlign w:val="bottom"/>
          </w:tcPr>
          <w:p w14:paraId="3076D114" w14:textId="3639ED67" w:rsidR="00263B10" w:rsidRPr="0057321D" w:rsidRDefault="00263B10" w:rsidP="0057321D">
            <w:pPr>
              <w:pStyle w:val="ListParagraph"/>
              <w:ind w:left="0"/>
              <w:rPr>
                <w:rFonts w:ascii="Times New Roman" w:hAnsi="Times New Roman" w:cs="Times New Roman"/>
                <w:color w:val="000000"/>
                <w:sz w:val="24"/>
                <w:szCs w:val="24"/>
              </w:rPr>
            </w:pPr>
            <w:r w:rsidRPr="0057321D">
              <w:rPr>
                <w:rFonts w:ascii="Times New Roman" w:hAnsi="Times New Roman" w:cs="Times New Roman"/>
                <w:color w:val="000000"/>
                <w:sz w:val="24"/>
                <w:szCs w:val="24"/>
              </w:rPr>
              <w:t>$178,460</w:t>
            </w:r>
          </w:p>
        </w:tc>
        <w:tc>
          <w:tcPr>
            <w:tcW w:w="903" w:type="pct"/>
            <w:tcBorders>
              <w:top w:val="nil"/>
              <w:bottom w:val="single" w:sz="4" w:space="0" w:color="auto"/>
            </w:tcBorders>
            <w:vAlign w:val="bottom"/>
          </w:tcPr>
          <w:p w14:paraId="593FB4CC" w14:textId="6755646E" w:rsidR="00263B10" w:rsidRPr="0057321D" w:rsidRDefault="00263B10" w:rsidP="0057321D">
            <w:pPr>
              <w:pStyle w:val="ListParagraph"/>
              <w:ind w:left="0"/>
              <w:rPr>
                <w:rFonts w:ascii="Times New Roman" w:hAnsi="Times New Roman" w:cs="Times New Roman"/>
                <w:sz w:val="24"/>
                <w:szCs w:val="24"/>
              </w:rPr>
            </w:pPr>
            <w:r w:rsidRPr="0057321D">
              <w:rPr>
                <w:rFonts w:ascii="Times New Roman" w:hAnsi="Times New Roman" w:cs="Times New Roman"/>
                <w:color w:val="000000"/>
                <w:sz w:val="24"/>
                <w:szCs w:val="24"/>
              </w:rPr>
              <w:t>$232,460</w:t>
            </w:r>
          </w:p>
        </w:tc>
      </w:tr>
      <w:tr w:rsidR="00810257" w:rsidRPr="00D16ED2" w14:paraId="4FBF3655" w14:textId="77777777" w:rsidTr="00810257">
        <w:tc>
          <w:tcPr>
            <w:tcW w:w="417" w:type="pct"/>
            <w:tcBorders>
              <w:top w:val="single" w:sz="4" w:space="0" w:color="auto"/>
            </w:tcBorders>
          </w:tcPr>
          <w:p w14:paraId="3575BC27" w14:textId="44535F41" w:rsidR="00A661D0" w:rsidRPr="002768BE" w:rsidRDefault="00693B9E" w:rsidP="0057321D">
            <w:pPr>
              <w:pStyle w:val="ListParagraph"/>
              <w:ind w:left="0"/>
              <w:rPr>
                <w:rFonts w:ascii="Times New Roman" w:hAnsi="Times New Roman" w:cs="Times New Roman"/>
                <w:sz w:val="24"/>
                <w:szCs w:val="24"/>
              </w:rPr>
            </w:pPr>
            <w:r w:rsidRPr="002768BE">
              <w:rPr>
                <w:rFonts w:ascii="Times New Roman" w:hAnsi="Times New Roman" w:cs="Times New Roman"/>
                <w:sz w:val="24"/>
                <w:szCs w:val="24"/>
              </w:rPr>
              <w:t>Total</w:t>
            </w:r>
          </w:p>
        </w:tc>
        <w:tc>
          <w:tcPr>
            <w:tcW w:w="625" w:type="pct"/>
            <w:tcBorders>
              <w:top w:val="single" w:sz="4" w:space="0" w:color="auto"/>
            </w:tcBorders>
            <w:vAlign w:val="bottom"/>
          </w:tcPr>
          <w:p w14:paraId="00BFF1DF" w14:textId="5EFA0116" w:rsidR="00A661D0" w:rsidRPr="002768BE" w:rsidRDefault="00A661D0" w:rsidP="0057321D">
            <w:pPr>
              <w:pStyle w:val="ListParagraph"/>
              <w:ind w:left="0"/>
              <w:rPr>
                <w:rFonts w:ascii="Times New Roman" w:hAnsi="Times New Roman" w:cs="Times New Roman"/>
                <w:color w:val="000000"/>
                <w:sz w:val="24"/>
                <w:szCs w:val="24"/>
              </w:rPr>
            </w:pPr>
            <w:r w:rsidRPr="002768BE">
              <w:rPr>
                <w:rFonts w:ascii="Times New Roman" w:hAnsi="Times New Roman" w:cs="Times New Roman"/>
                <w:color w:val="000000"/>
                <w:sz w:val="24"/>
                <w:szCs w:val="24"/>
              </w:rPr>
              <w:t>$</w:t>
            </w:r>
            <w:r w:rsidR="00693B9E" w:rsidRPr="002768BE">
              <w:rPr>
                <w:rFonts w:ascii="Times New Roman" w:hAnsi="Times New Roman" w:cs="Times New Roman"/>
                <w:color w:val="000000"/>
                <w:sz w:val="24"/>
                <w:szCs w:val="24"/>
              </w:rPr>
              <w:t>72</w:t>
            </w:r>
            <w:r w:rsidRPr="002768BE">
              <w:rPr>
                <w:rFonts w:ascii="Times New Roman" w:hAnsi="Times New Roman" w:cs="Times New Roman"/>
                <w:color w:val="000000"/>
                <w:sz w:val="24"/>
                <w:szCs w:val="24"/>
              </w:rPr>
              <w:t>,000</w:t>
            </w:r>
          </w:p>
        </w:tc>
        <w:tc>
          <w:tcPr>
            <w:tcW w:w="556" w:type="pct"/>
            <w:tcBorders>
              <w:top w:val="single" w:sz="4" w:space="0" w:color="auto"/>
            </w:tcBorders>
          </w:tcPr>
          <w:p w14:paraId="5EAEB959" w14:textId="77777777" w:rsidR="00A661D0" w:rsidRPr="002768BE" w:rsidRDefault="00A661D0" w:rsidP="0057321D">
            <w:pPr>
              <w:pStyle w:val="ListParagraph"/>
              <w:ind w:left="0"/>
              <w:rPr>
                <w:rFonts w:ascii="Times New Roman" w:hAnsi="Times New Roman" w:cs="Times New Roman"/>
                <w:sz w:val="24"/>
                <w:szCs w:val="24"/>
              </w:rPr>
            </w:pPr>
          </w:p>
        </w:tc>
        <w:tc>
          <w:tcPr>
            <w:tcW w:w="1007" w:type="pct"/>
            <w:tcBorders>
              <w:top w:val="single" w:sz="4" w:space="0" w:color="auto"/>
            </w:tcBorders>
          </w:tcPr>
          <w:p w14:paraId="70097428" w14:textId="77777777" w:rsidR="00A661D0" w:rsidRPr="002768BE" w:rsidRDefault="00A661D0" w:rsidP="0057321D">
            <w:pPr>
              <w:pStyle w:val="ListParagraph"/>
              <w:ind w:left="0"/>
              <w:rPr>
                <w:rFonts w:ascii="Times New Roman" w:hAnsi="Times New Roman" w:cs="Times New Roman"/>
                <w:sz w:val="24"/>
                <w:szCs w:val="24"/>
              </w:rPr>
            </w:pPr>
          </w:p>
        </w:tc>
        <w:tc>
          <w:tcPr>
            <w:tcW w:w="694" w:type="pct"/>
            <w:tcBorders>
              <w:top w:val="single" w:sz="4" w:space="0" w:color="auto"/>
            </w:tcBorders>
          </w:tcPr>
          <w:p w14:paraId="35BA0C42" w14:textId="77777777" w:rsidR="00A661D0" w:rsidRPr="002768BE" w:rsidRDefault="00A661D0" w:rsidP="0057321D">
            <w:pPr>
              <w:pStyle w:val="ListParagraph"/>
              <w:ind w:left="0"/>
              <w:rPr>
                <w:rFonts w:ascii="Times New Roman" w:hAnsi="Times New Roman" w:cs="Times New Roman"/>
                <w:sz w:val="24"/>
                <w:szCs w:val="24"/>
              </w:rPr>
            </w:pPr>
          </w:p>
        </w:tc>
        <w:tc>
          <w:tcPr>
            <w:tcW w:w="798" w:type="pct"/>
            <w:tcBorders>
              <w:top w:val="single" w:sz="4" w:space="0" w:color="auto"/>
            </w:tcBorders>
          </w:tcPr>
          <w:p w14:paraId="3D74FED8" w14:textId="51FAABE6" w:rsidR="00A661D0" w:rsidRPr="002768BE" w:rsidRDefault="00263B10" w:rsidP="0057321D">
            <w:pPr>
              <w:rPr>
                <w:rFonts w:ascii="Times New Roman" w:hAnsi="Times New Roman" w:cs="Times New Roman"/>
                <w:sz w:val="24"/>
                <w:szCs w:val="24"/>
              </w:rPr>
            </w:pPr>
            <w:r w:rsidRPr="002768BE">
              <w:rPr>
                <w:rFonts w:ascii="Times New Roman" w:hAnsi="Times New Roman" w:cs="Times New Roman"/>
                <w:color w:val="000000"/>
                <w:sz w:val="24"/>
                <w:szCs w:val="24"/>
              </w:rPr>
              <w:t>$337,200</w:t>
            </w:r>
          </w:p>
        </w:tc>
        <w:tc>
          <w:tcPr>
            <w:tcW w:w="903" w:type="pct"/>
            <w:tcBorders>
              <w:top w:val="single" w:sz="4" w:space="0" w:color="auto"/>
            </w:tcBorders>
          </w:tcPr>
          <w:p w14:paraId="4C616728" w14:textId="77777777" w:rsidR="00A661D0" w:rsidRPr="002768BE" w:rsidRDefault="00263B10" w:rsidP="0057321D">
            <w:pPr>
              <w:rPr>
                <w:rFonts w:ascii="Times New Roman" w:hAnsi="Times New Roman" w:cs="Times New Roman"/>
                <w:sz w:val="24"/>
                <w:szCs w:val="24"/>
              </w:rPr>
            </w:pPr>
            <w:r w:rsidRPr="002768BE">
              <w:rPr>
                <w:rFonts w:ascii="Times New Roman" w:hAnsi="Times New Roman" w:cs="Times New Roman"/>
                <w:color w:val="000000"/>
                <w:sz w:val="24"/>
                <w:szCs w:val="24"/>
              </w:rPr>
              <w:t>$409,200</w:t>
            </w:r>
          </w:p>
        </w:tc>
      </w:tr>
    </w:tbl>
    <w:p w14:paraId="75943BAF" w14:textId="77777777" w:rsidR="00892AAF" w:rsidRPr="0057321D" w:rsidRDefault="00892AAF" w:rsidP="0057321D">
      <w:pPr>
        <w:ind w:left="720"/>
        <w:rPr>
          <w:rFonts w:ascii="Times New Roman" w:hAnsi="Times New Roman" w:cs="Times New Roman"/>
          <w:sz w:val="24"/>
          <w:szCs w:val="24"/>
          <w:highlight w:val="yellow"/>
        </w:rPr>
      </w:pPr>
    </w:p>
    <w:p w14:paraId="31A605EC" w14:textId="182F3328" w:rsidR="00E116FF" w:rsidRPr="0057321D" w:rsidRDefault="0025631D" w:rsidP="00C91AC8">
      <w:pPr>
        <w:rPr>
          <w:rFonts w:ascii="Times New Roman" w:hAnsi="Times New Roman" w:cs="Times New Roman"/>
          <w:sz w:val="24"/>
          <w:szCs w:val="24"/>
        </w:rPr>
      </w:pPr>
      <w:r>
        <w:rPr>
          <w:rFonts w:ascii="Times New Roman" w:hAnsi="Times New Roman" w:cs="Times New Roman"/>
          <w:i/>
          <w:sz w:val="24"/>
          <w:szCs w:val="24"/>
        </w:rPr>
        <w:t>Deaths avoided</w:t>
      </w:r>
    </w:p>
    <w:p w14:paraId="09C387C9" w14:textId="12AF3E9C" w:rsidR="00005072" w:rsidRPr="0057321D" w:rsidRDefault="00005072" w:rsidP="0057321D">
      <w:pPr>
        <w:ind w:firstLine="720"/>
        <w:rPr>
          <w:rFonts w:ascii="Times New Roman" w:hAnsi="Times New Roman" w:cs="Times New Roman"/>
          <w:sz w:val="24"/>
          <w:szCs w:val="24"/>
        </w:rPr>
      </w:pPr>
      <w:r w:rsidRPr="0057321D">
        <w:rPr>
          <w:rFonts w:ascii="Times New Roman" w:hAnsi="Times New Roman" w:cs="Times New Roman"/>
          <w:sz w:val="24"/>
          <w:szCs w:val="24"/>
        </w:rPr>
        <w:t xml:space="preserve">To calculate </w:t>
      </w:r>
      <w:r w:rsidR="0025631D">
        <w:rPr>
          <w:rFonts w:ascii="Times New Roman" w:hAnsi="Times New Roman" w:cs="Times New Roman"/>
          <w:sz w:val="24"/>
          <w:szCs w:val="24"/>
        </w:rPr>
        <w:t>deaths avoided,</w:t>
      </w:r>
      <w:r w:rsidRPr="0057321D">
        <w:rPr>
          <w:rFonts w:ascii="Times New Roman" w:hAnsi="Times New Roman" w:cs="Times New Roman"/>
          <w:sz w:val="24"/>
          <w:szCs w:val="24"/>
        </w:rPr>
        <w:t xml:space="preserve"> we</w:t>
      </w:r>
      <w:r w:rsidR="0057321D" w:rsidRPr="0057321D">
        <w:rPr>
          <w:rFonts w:ascii="Times New Roman" w:hAnsi="Times New Roman" w:cs="Times New Roman"/>
          <w:sz w:val="24"/>
          <w:szCs w:val="24"/>
        </w:rPr>
        <w:t>:</w:t>
      </w:r>
      <w:r w:rsidRPr="0057321D">
        <w:rPr>
          <w:rFonts w:ascii="Times New Roman" w:hAnsi="Times New Roman" w:cs="Times New Roman"/>
          <w:sz w:val="24"/>
          <w:szCs w:val="24"/>
        </w:rPr>
        <w:t xml:space="preserve"> (1)</w:t>
      </w:r>
      <w:r w:rsidR="0057321D">
        <w:rPr>
          <w:rFonts w:ascii="Times New Roman" w:hAnsi="Times New Roman" w:cs="Times New Roman"/>
          <w:sz w:val="24"/>
          <w:szCs w:val="24"/>
        </w:rPr>
        <w:t xml:space="preserve"> calculated the exposure</w:t>
      </w:r>
      <w:r w:rsidR="00D66326">
        <w:rPr>
          <w:rFonts w:ascii="Times New Roman" w:hAnsi="Times New Roman" w:cs="Times New Roman"/>
          <w:sz w:val="24"/>
          <w:szCs w:val="24"/>
        </w:rPr>
        <w:t xml:space="preserve"> category</w:t>
      </w:r>
      <w:r w:rsidR="0057321D">
        <w:rPr>
          <w:rFonts w:ascii="Times New Roman" w:hAnsi="Times New Roman" w:cs="Times New Roman"/>
          <w:sz w:val="24"/>
          <w:szCs w:val="24"/>
        </w:rPr>
        <w:t>-</w:t>
      </w:r>
      <w:r w:rsidRPr="0057321D">
        <w:rPr>
          <w:rFonts w:ascii="Times New Roman" w:hAnsi="Times New Roman" w:cs="Times New Roman"/>
          <w:sz w:val="24"/>
          <w:szCs w:val="24"/>
        </w:rPr>
        <w:t xml:space="preserve">specific </w:t>
      </w:r>
      <w:r w:rsidR="00D66326">
        <w:rPr>
          <w:rFonts w:ascii="Times New Roman" w:hAnsi="Times New Roman" w:cs="Times New Roman"/>
          <w:sz w:val="24"/>
          <w:szCs w:val="24"/>
        </w:rPr>
        <w:t>rates of overdose deaths by year;</w:t>
      </w:r>
      <w:r w:rsidRPr="0057321D">
        <w:rPr>
          <w:rFonts w:ascii="Times New Roman" w:hAnsi="Times New Roman" w:cs="Times New Roman"/>
          <w:sz w:val="24"/>
          <w:szCs w:val="24"/>
        </w:rPr>
        <w:t xml:space="preserve"> (2) </w:t>
      </w:r>
      <w:r w:rsidR="00D66326">
        <w:rPr>
          <w:rFonts w:ascii="Times New Roman" w:hAnsi="Times New Roman" w:cs="Times New Roman"/>
          <w:sz w:val="24"/>
          <w:szCs w:val="24"/>
        </w:rPr>
        <w:t>multiplied these</w:t>
      </w:r>
      <w:r w:rsidRPr="0057321D">
        <w:rPr>
          <w:rFonts w:ascii="Times New Roman" w:hAnsi="Times New Roman" w:cs="Times New Roman"/>
          <w:sz w:val="24"/>
          <w:szCs w:val="24"/>
        </w:rPr>
        <w:t xml:space="preserve"> exposure</w:t>
      </w:r>
      <w:r w:rsidR="00D66326">
        <w:rPr>
          <w:rFonts w:ascii="Times New Roman" w:hAnsi="Times New Roman" w:cs="Times New Roman"/>
          <w:sz w:val="24"/>
          <w:szCs w:val="24"/>
        </w:rPr>
        <w:t xml:space="preserve"> category</w:t>
      </w:r>
      <w:r w:rsidRPr="0057321D">
        <w:rPr>
          <w:rFonts w:ascii="Times New Roman" w:hAnsi="Times New Roman" w:cs="Times New Roman"/>
          <w:sz w:val="24"/>
          <w:szCs w:val="24"/>
        </w:rPr>
        <w:t>-specific rate</w:t>
      </w:r>
      <w:r w:rsidR="00D66326">
        <w:rPr>
          <w:rFonts w:ascii="Times New Roman" w:hAnsi="Times New Roman" w:cs="Times New Roman"/>
          <w:sz w:val="24"/>
          <w:szCs w:val="24"/>
        </w:rPr>
        <w:t>s by</w:t>
      </w:r>
      <w:r w:rsidRPr="0057321D">
        <w:rPr>
          <w:rFonts w:ascii="Times New Roman" w:hAnsi="Times New Roman" w:cs="Times New Roman"/>
          <w:sz w:val="24"/>
          <w:szCs w:val="24"/>
        </w:rPr>
        <w:t xml:space="preserve"> respectiv</w:t>
      </w:r>
      <w:r w:rsidR="00D66326">
        <w:rPr>
          <w:rFonts w:ascii="Times New Roman" w:hAnsi="Times New Roman" w:cs="Times New Roman"/>
          <w:sz w:val="24"/>
          <w:szCs w:val="24"/>
        </w:rPr>
        <w:t xml:space="preserve">e county population sizes in each exposure category and </w:t>
      </w:r>
      <w:r w:rsidRPr="0057321D">
        <w:rPr>
          <w:rFonts w:ascii="Times New Roman" w:hAnsi="Times New Roman" w:cs="Times New Roman"/>
          <w:sz w:val="24"/>
          <w:szCs w:val="24"/>
        </w:rPr>
        <w:t xml:space="preserve">year to </w:t>
      </w:r>
      <w:r w:rsidR="0057321D">
        <w:rPr>
          <w:rFonts w:ascii="Times New Roman" w:hAnsi="Times New Roman" w:cs="Times New Roman"/>
          <w:sz w:val="24"/>
          <w:szCs w:val="24"/>
        </w:rPr>
        <w:t xml:space="preserve">obtain </w:t>
      </w:r>
      <w:r w:rsidR="00D66326">
        <w:rPr>
          <w:rFonts w:ascii="Times New Roman" w:hAnsi="Times New Roman" w:cs="Times New Roman"/>
          <w:sz w:val="24"/>
          <w:szCs w:val="24"/>
        </w:rPr>
        <w:t>estimated</w:t>
      </w:r>
      <w:r w:rsidRPr="0057321D">
        <w:rPr>
          <w:rFonts w:ascii="Times New Roman" w:hAnsi="Times New Roman" w:cs="Times New Roman"/>
          <w:sz w:val="24"/>
          <w:szCs w:val="24"/>
        </w:rPr>
        <w:t xml:space="preserve"> deaths</w:t>
      </w:r>
      <w:r w:rsidR="00D66326">
        <w:rPr>
          <w:rFonts w:ascii="Times New Roman" w:hAnsi="Times New Roman" w:cs="Times New Roman"/>
          <w:sz w:val="24"/>
          <w:szCs w:val="24"/>
        </w:rPr>
        <w:t>, (3) calculated expected deaths, assuming no counties had received naloxone</w:t>
      </w:r>
      <w:r w:rsidRPr="0057321D">
        <w:rPr>
          <w:rFonts w:ascii="Times New Roman" w:hAnsi="Times New Roman" w:cs="Times New Roman"/>
          <w:sz w:val="24"/>
          <w:szCs w:val="24"/>
        </w:rPr>
        <w:t xml:space="preserve">, and (4) took the difference between the </w:t>
      </w:r>
      <w:r w:rsidR="00D66326">
        <w:rPr>
          <w:rFonts w:ascii="Times New Roman" w:hAnsi="Times New Roman" w:cs="Times New Roman"/>
          <w:sz w:val="24"/>
          <w:szCs w:val="24"/>
        </w:rPr>
        <w:t xml:space="preserve">calculations in </w:t>
      </w:r>
      <w:r w:rsidR="003D0DB2">
        <w:rPr>
          <w:rFonts w:ascii="Times New Roman" w:hAnsi="Times New Roman" w:cs="Times New Roman"/>
          <w:sz w:val="24"/>
          <w:szCs w:val="24"/>
        </w:rPr>
        <w:t>(2) and (3)</w:t>
      </w:r>
      <w:r w:rsidRPr="0057321D">
        <w:rPr>
          <w:rFonts w:ascii="Times New Roman" w:hAnsi="Times New Roman" w:cs="Times New Roman"/>
          <w:sz w:val="24"/>
          <w:szCs w:val="24"/>
        </w:rPr>
        <w:t xml:space="preserve"> to estimate the number of </w:t>
      </w:r>
      <w:r w:rsidR="0025631D">
        <w:rPr>
          <w:rFonts w:ascii="Times New Roman" w:hAnsi="Times New Roman" w:cs="Times New Roman"/>
          <w:sz w:val="24"/>
          <w:szCs w:val="24"/>
        </w:rPr>
        <w:t>deaths avoided</w:t>
      </w:r>
      <w:r w:rsidRPr="0057321D">
        <w:rPr>
          <w:rFonts w:ascii="Times New Roman" w:hAnsi="Times New Roman" w:cs="Times New Roman"/>
          <w:sz w:val="24"/>
          <w:szCs w:val="24"/>
        </w:rPr>
        <w:t xml:space="preserve"> </w:t>
      </w:r>
      <w:r w:rsidR="00D66326">
        <w:rPr>
          <w:rFonts w:ascii="Times New Roman" w:hAnsi="Times New Roman" w:cs="Times New Roman"/>
          <w:sz w:val="24"/>
          <w:szCs w:val="24"/>
        </w:rPr>
        <w:t>(and</w:t>
      </w:r>
      <w:r w:rsidRPr="0057321D">
        <w:rPr>
          <w:rFonts w:ascii="Times New Roman" w:hAnsi="Times New Roman" w:cs="Times New Roman"/>
          <w:sz w:val="24"/>
          <w:szCs w:val="24"/>
        </w:rPr>
        <w:t xml:space="preserve"> corresponding confidence intervals</w:t>
      </w:r>
      <w:r w:rsidR="00D66326">
        <w:rPr>
          <w:rFonts w:ascii="Times New Roman" w:hAnsi="Times New Roman" w:cs="Times New Roman"/>
          <w:sz w:val="24"/>
          <w:szCs w:val="24"/>
        </w:rPr>
        <w:t>)</w:t>
      </w:r>
      <w:r w:rsidRPr="0057321D">
        <w:rPr>
          <w:rFonts w:ascii="Times New Roman" w:hAnsi="Times New Roman" w:cs="Times New Roman"/>
          <w:sz w:val="24"/>
          <w:szCs w:val="24"/>
        </w:rPr>
        <w:t xml:space="preserve">. </w:t>
      </w:r>
    </w:p>
    <w:p w14:paraId="7E82FC7F" w14:textId="7C6E2F72" w:rsidR="00E30486" w:rsidRDefault="00077F6D" w:rsidP="00E30486">
      <w:pPr>
        <w:pStyle w:val="ListParagraph"/>
        <w:spacing w:after="0"/>
        <w:ind w:left="0" w:firstLine="720"/>
        <w:jc w:val="center"/>
        <w:rPr>
          <w:rFonts w:ascii="Times New Roman" w:hAnsi="Times New Roman" w:cs="Times New Roman"/>
          <w:sz w:val="24"/>
          <w:szCs w:val="24"/>
        </w:rPr>
      </w:pPr>
      <w:r w:rsidRPr="0057321D">
        <w:rPr>
          <w:rFonts w:ascii="Times New Roman" w:hAnsi="Times New Roman" w:cs="Times New Roman"/>
          <w:b/>
          <w:sz w:val="24"/>
          <w:szCs w:val="24"/>
        </w:rPr>
        <w:lastRenderedPageBreak/>
        <w:t xml:space="preserve">Table </w:t>
      </w:r>
      <w:r w:rsidR="00AB6A54" w:rsidRPr="0057321D">
        <w:rPr>
          <w:rFonts w:ascii="Times New Roman" w:hAnsi="Times New Roman" w:cs="Times New Roman"/>
          <w:b/>
          <w:sz w:val="24"/>
          <w:szCs w:val="24"/>
        </w:rPr>
        <w:t>S2.</w:t>
      </w:r>
      <w:r w:rsidRPr="0057321D">
        <w:rPr>
          <w:rFonts w:ascii="Times New Roman" w:hAnsi="Times New Roman" w:cs="Times New Roman"/>
          <w:b/>
          <w:sz w:val="24"/>
          <w:szCs w:val="24"/>
        </w:rPr>
        <w:t xml:space="preserve"> </w:t>
      </w:r>
      <w:r w:rsidRPr="0057321D">
        <w:rPr>
          <w:rFonts w:ascii="Times New Roman" w:hAnsi="Times New Roman" w:cs="Times New Roman"/>
          <w:sz w:val="24"/>
          <w:szCs w:val="24"/>
        </w:rPr>
        <w:t xml:space="preserve">Estimated </w:t>
      </w:r>
      <w:r w:rsidR="0025631D">
        <w:rPr>
          <w:rFonts w:ascii="Times New Roman" w:hAnsi="Times New Roman" w:cs="Times New Roman"/>
          <w:sz w:val="24"/>
          <w:szCs w:val="24"/>
        </w:rPr>
        <w:t>deaths avoided</w:t>
      </w:r>
      <w:r w:rsidR="00B9625E" w:rsidRPr="0057321D">
        <w:rPr>
          <w:rFonts w:ascii="Times New Roman" w:hAnsi="Times New Roman" w:cs="Times New Roman"/>
          <w:sz w:val="24"/>
          <w:szCs w:val="24"/>
        </w:rPr>
        <w:t xml:space="preserve"> </w:t>
      </w:r>
      <w:r w:rsidR="00CB323A" w:rsidRPr="0057321D">
        <w:rPr>
          <w:rFonts w:ascii="Times New Roman" w:hAnsi="Times New Roman" w:cs="Times New Roman"/>
          <w:sz w:val="24"/>
          <w:szCs w:val="24"/>
        </w:rPr>
        <w:t>due to naloxone distribution program</w:t>
      </w:r>
    </w:p>
    <w:p w14:paraId="6BCA81D9" w14:textId="3972A725" w:rsidR="005956D8" w:rsidRPr="0057321D" w:rsidRDefault="0002275A" w:rsidP="00E30486">
      <w:pPr>
        <w:pStyle w:val="ListParagraph"/>
        <w:spacing w:after="0"/>
        <w:ind w:left="0" w:firstLine="720"/>
        <w:jc w:val="center"/>
        <w:rPr>
          <w:rFonts w:ascii="Times New Roman" w:hAnsi="Times New Roman" w:cs="Times New Roman"/>
          <w:sz w:val="24"/>
          <w:szCs w:val="24"/>
        </w:rPr>
      </w:pPr>
      <w:r w:rsidRPr="0057321D">
        <w:rPr>
          <w:rFonts w:ascii="Times New Roman" w:hAnsi="Times New Roman" w:cs="Times New Roman"/>
          <w:sz w:val="24"/>
          <w:szCs w:val="24"/>
        </w:rPr>
        <w:t>in North Carolina counties</w:t>
      </w:r>
      <w:r w:rsidR="00FA28B2" w:rsidRPr="0057321D">
        <w:rPr>
          <w:rFonts w:ascii="Times New Roman" w:hAnsi="Times New Roman" w:cs="Times New Roman"/>
          <w:sz w:val="24"/>
          <w:szCs w:val="24"/>
        </w:rPr>
        <w:t xml:space="preserve">, </w:t>
      </w:r>
      <w:r w:rsidR="00CB323A" w:rsidRPr="0057321D">
        <w:rPr>
          <w:rFonts w:ascii="Times New Roman" w:hAnsi="Times New Roman" w:cs="Times New Roman"/>
          <w:sz w:val="24"/>
          <w:szCs w:val="24"/>
        </w:rPr>
        <w:t>August 2013-December 2016</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3781"/>
      </w:tblGrid>
      <w:tr w:rsidR="00CB3DB7" w:rsidRPr="0057321D" w14:paraId="1CE0B18D" w14:textId="77777777" w:rsidTr="00E30486">
        <w:trPr>
          <w:jc w:val="center"/>
        </w:trPr>
        <w:tc>
          <w:tcPr>
            <w:tcW w:w="2159" w:type="dxa"/>
            <w:tcBorders>
              <w:top w:val="single" w:sz="4" w:space="0" w:color="auto"/>
              <w:bottom w:val="single" w:sz="4" w:space="0" w:color="auto"/>
            </w:tcBorders>
            <w:vAlign w:val="bottom"/>
          </w:tcPr>
          <w:p w14:paraId="52E453F2" w14:textId="0D6F40C8" w:rsidR="00CB3DB7" w:rsidRPr="0057321D" w:rsidRDefault="00CB3DB7" w:rsidP="00810257">
            <w:pPr>
              <w:pStyle w:val="ListParagraph"/>
              <w:tabs>
                <w:tab w:val="left" w:pos="0"/>
              </w:tabs>
              <w:ind w:left="0"/>
              <w:jc w:val="center"/>
              <w:rPr>
                <w:rFonts w:ascii="Times New Roman" w:hAnsi="Times New Roman" w:cs="Times New Roman"/>
                <w:sz w:val="24"/>
                <w:szCs w:val="24"/>
              </w:rPr>
            </w:pPr>
            <w:r w:rsidRPr="0057321D">
              <w:rPr>
                <w:rFonts w:ascii="Times New Roman" w:hAnsi="Times New Roman" w:cs="Times New Roman"/>
                <w:b/>
                <w:bCs/>
                <w:color w:val="000000"/>
                <w:sz w:val="24"/>
                <w:szCs w:val="24"/>
              </w:rPr>
              <w:t>Y</w:t>
            </w:r>
            <w:r w:rsidR="0002275A" w:rsidRPr="0057321D">
              <w:rPr>
                <w:rFonts w:ascii="Times New Roman" w:hAnsi="Times New Roman" w:cs="Times New Roman"/>
                <w:b/>
                <w:bCs/>
                <w:color w:val="000000"/>
                <w:sz w:val="24"/>
                <w:szCs w:val="24"/>
              </w:rPr>
              <w:t>ear</w:t>
            </w:r>
          </w:p>
        </w:tc>
        <w:tc>
          <w:tcPr>
            <w:tcW w:w="3781" w:type="dxa"/>
            <w:tcBorders>
              <w:top w:val="single" w:sz="4" w:space="0" w:color="auto"/>
              <w:bottom w:val="single" w:sz="4" w:space="0" w:color="auto"/>
            </w:tcBorders>
            <w:vAlign w:val="bottom"/>
          </w:tcPr>
          <w:p w14:paraId="1C755D55" w14:textId="7CF192D2" w:rsidR="00C65F5D" w:rsidRPr="0057321D" w:rsidRDefault="00CB3DB7" w:rsidP="00810257">
            <w:pPr>
              <w:pStyle w:val="ListParagraph"/>
              <w:tabs>
                <w:tab w:val="left" w:pos="0"/>
              </w:tabs>
              <w:ind w:left="0"/>
              <w:jc w:val="center"/>
              <w:rPr>
                <w:rFonts w:ascii="Times New Roman" w:hAnsi="Times New Roman" w:cs="Times New Roman"/>
                <w:b/>
                <w:bCs/>
                <w:color w:val="000000"/>
                <w:sz w:val="24"/>
                <w:szCs w:val="24"/>
              </w:rPr>
            </w:pPr>
            <w:r w:rsidRPr="0057321D">
              <w:rPr>
                <w:rFonts w:ascii="Times New Roman" w:hAnsi="Times New Roman" w:cs="Times New Roman"/>
                <w:b/>
                <w:bCs/>
                <w:color w:val="000000"/>
                <w:sz w:val="24"/>
                <w:szCs w:val="24"/>
              </w:rPr>
              <w:t>Estimate</w:t>
            </w:r>
            <w:r w:rsidR="0002275A" w:rsidRPr="0057321D">
              <w:rPr>
                <w:rFonts w:ascii="Times New Roman" w:hAnsi="Times New Roman" w:cs="Times New Roman"/>
                <w:b/>
                <w:bCs/>
                <w:color w:val="000000"/>
                <w:sz w:val="24"/>
                <w:szCs w:val="24"/>
              </w:rPr>
              <w:t xml:space="preserve">d </w:t>
            </w:r>
            <w:r w:rsidR="0025631D">
              <w:rPr>
                <w:rFonts w:ascii="Times New Roman" w:hAnsi="Times New Roman" w:cs="Times New Roman"/>
                <w:b/>
                <w:bCs/>
                <w:color w:val="000000"/>
                <w:sz w:val="24"/>
                <w:szCs w:val="24"/>
              </w:rPr>
              <w:t>deaths avoided</w:t>
            </w:r>
          </w:p>
          <w:p w14:paraId="5D8A475D" w14:textId="4D2FF496" w:rsidR="00CB3DB7" w:rsidRPr="0057321D" w:rsidRDefault="00C65F5D" w:rsidP="00810257">
            <w:pPr>
              <w:pStyle w:val="ListParagraph"/>
              <w:tabs>
                <w:tab w:val="left" w:pos="0"/>
              </w:tabs>
              <w:ind w:left="0"/>
              <w:jc w:val="center"/>
              <w:rPr>
                <w:rFonts w:ascii="Times New Roman" w:hAnsi="Times New Roman" w:cs="Times New Roman"/>
                <w:sz w:val="24"/>
                <w:szCs w:val="24"/>
              </w:rPr>
            </w:pPr>
            <w:r w:rsidRPr="0057321D">
              <w:rPr>
                <w:rFonts w:ascii="Times New Roman" w:hAnsi="Times New Roman" w:cs="Times New Roman"/>
                <w:b/>
                <w:bCs/>
                <w:color w:val="000000"/>
                <w:sz w:val="24"/>
                <w:szCs w:val="24"/>
              </w:rPr>
              <w:t>(</w:t>
            </w:r>
            <w:r w:rsidR="0002275A" w:rsidRPr="0057321D">
              <w:rPr>
                <w:rFonts w:ascii="Times New Roman" w:hAnsi="Times New Roman" w:cs="Times New Roman"/>
                <w:b/>
                <w:bCs/>
                <w:color w:val="000000"/>
                <w:sz w:val="24"/>
                <w:szCs w:val="24"/>
              </w:rPr>
              <w:t>95% confidence interval)</w:t>
            </w:r>
          </w:p>
        </w:tc>
      </w:tr>
      <w:tr w:rsidR="00AB6A54" w:rsidRPr="0057321D" w14:paraId="539E1111" w14:textId="77777777" w:rsidTr="00E30486">
        <w:trPr>
          <w:jc w:val="center"/>
        </w:trPr>
        <w:tc>
          <w:tcPr>
            <w:tcW w:w="2159" w:type="dxa"/>
            <w:tcBorders>
              <w:top w:val="single" w:sz="4" w:space="0" w:color="auto"/>
            </w:tcBorders>
            <w:vAlign w:val="bottom"/>
          </w:tcPr>
          <w:p w14:paraId="73081DE0" w14:textId="03D7E475" w:rsidR="00AB6A54" w:rsidRPr="0057321D" w:rsidRDefault="003D0DB2" w:rsidP="00810257">
            <w:pPr>
              <w:pStyle w:val="ListParagraph"/>
              <w:tabs>
                <w:tab w:val="left" w:pos="0"/>
              </w:tabs>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B6A54" w:rsidRPr="0057321D">
              <w:rPr>
                <w:rFonts w:ascii="Times New Roman" w:hAnsi="Times New Roman" w:cs="Times New Roman"/>
                <w:color w:val="000000"/>
                <w:sz w:val="24"/>
                <w:szCs w:val="24"/>
              </w:rPr>
              <w:t>2013*</w:t>
            </w:r>
          </w:p>
        </w:tc>
        <w:tc>
          <w:tcPr>
            <w:tcW w:w="3781" w:type="dxa"/>
            <w:tcBorders>
              <w:top w:val="single" w:sz="4" w:space="0" w:color="auto"/>
            </w:tcBorders>
            <w:vAlign w:val="bottom"/>
          </w:tcPr>
          <w:p w14:paraId="196F084C" w14:textId="0DA0E3FE" w:rsidR="00AB6A54" w:rsidRPr="0057321D" w:rsidRDefault="00AB6A54" w:rsidP="00810257">
            <w:pPr>
              <w:pStyle w:val="ListParagraph"/>
              <w:tabs>
                <w:tab w:val="left" w:pos="0"/>
              </w:tabs>
              <w:ind w:left="0"/>
              <w:jc w:val="center"/>
              <w:rPr>
                <w:rFonts w:ascii="Times New Roman" w:hAnsi="Times New Roman" w:cs="Times New Roman"/>
                <w:color w:val="000000"/>
                <w:sz w:val="24"/>
                <w:szCs w:val="24"/>
              </w:rPr>
            </w:pPr>
            <w:r w:rsidRPr="0057321D">
              <w:rPr>
                <w:rFonts w:ascii="Times New Roman" w:hAnsi="Times New Roman" w:cs="Times New Roman"/>
                <w:color w:val="000000"/>
                <w:sz w:val="24"/>
                <w:szCs w:val="24"/>
              </w:rPr>
              <w:t>1</w:t>
            </w:r>
            <w:r w:rsidR="0003433C" w:rsidRPr="0057321D">
              <w:rPr>
                <w:rFonts w:ascii="Times New Roman" w:hAnsi="Times New Roman" w:cs="Times New Roman"/>
                <w:color w:val="000000"/>
                <w:sz w:val="24"/>
                <w:szCs w:val="24"/>
              </w:rPr>
              <w:t>8</w:t>
            </w:r>
            <w:r w:rsidRPr="0057321D">
              <w:rPr>
                <w:rFonts w:ascii="Times New Roman" w:hAnsi="Times New Roman" w:cs="Times New Roman"/>
                <w:color w:val="000000"/>
                <w:sz w:val="24"/>
                <w:szCs w:val="24"/>
              </w:rPr>
              <w:t xml:space="preserve"> (1</w:t>
            </w:r>
            <w:r w:rsidR="0003433C" w:rsidRPr="0057321D">
              <w:rPr>
                <w:rFonts w:ascii="Times New Roman" w:hAnsi="Times New Roman" w:cs="Times New Roman"/>
                <w:color w:val="000000"/>
                <w:sz w:val="24"/>
                <w:szCs w:val="24"/>
              </w:rPr>
              <w:t>6</w:t>
            </w:r>
            <w:r w:rsidRPr="0057321D">
              <w:rPr>
                <w:rFonts w:ascii="Times New Roman" w:hAnsi="Times New Roman" w:cs="Times New Roman"/>
                <w:color w:val="000000"/>
                <w:sz w:val="24"/>
                <w:szCs w:val="24"/>
              </w:rPr>
              <w:t>, 21)</w:t>
            </w:r>
          </w:p>
        </w:tc>
      </w:tr>
      <w:tr w:rsidR="00AB6A54" w:rsidRPr="0057321D" w14:paraId="463997C5" w14:textId="77777777" w:rsidTr="00E30486">
        <w:trPr>
          <w:jc w:val="center"/>
        </w:trPr>
        <w:tc>
          <w:tcPr>
            <w:tcW w:w="2159" w:type="dxa"/>
            <w:vAlign w:val="bottom"/>
          </w:tcPr>
          <w:p w14:paraId="7201A1A0" w14:textId="77777777" w:rsidR="00AB6A54" w:rsidRPr="0057321D" w:rsidRDefault="00AB6A54" w:rsidP="00810257">
            <w:pPr>
              <w:pStyle w:val="ListParagraph"/>
              <w:tabs>
                <w:tab w:val="left" w:pos="0"/>
              </w:tabs>
              <w:ind w:left="0"/>
              <w:jc w:val="center"/>
              <w:rPr>
                <w:rFonts w:ascii="Times New Roman" w:hAnsi="Times New Roman" w:cs="Times New Roman"/>
                <w:color w:val="000000"/>
                <w:sz w:val="24"/>
                <w:szCs w:val="24"/>
              </w:rPr>
            </w:pPr>
            <w:r w:rsidRPr="0057321D">
              <w:rPr>
                <w:rFonts w:ascii="Times New Roman" w:hAnsi="Times New Roman" w:cs="Times New Roman"/>
                <w:color w:val="000000"/>
                <w:sz w:val="24"/>
                <w:szCs w:val="24"/>
              </w:rPr>
              <w:t>2014</w:t>
            </w:r>
          </w:p>
        </w:tc>
        <w:tc>
          <w:tcPr>
            <w:tcW w:w="3781" w:type="dxa"/>
            <w:vAlign w:val="bottom"/>
          </w:tcPr>
          <w:p w14:paraId="43A258E8" w14:textId="3F2A325E" w:rsidR="00AB6A54" w:rsidRPr="0057321D" w:rsidRDefault="0003433C" w:rsidP="00810257">
            <w:pPr>
              <w:pStyle w:val="ListParagraph"/>
              <w:tabs>
                <w:tab w:val="left" w:pos="0"/>
              </w:tabs>
              <w:ind w:left="0"/>
              <w:jc w:val="center"/>
              <w:rPr>
                <w:rFonts w:ascii="Times New Roman" w:hAnsi="Times New Roman" w:cs="Times New Roman"/>
                <w:color w:val="000000"/>
                <w:sz w:val="24"/>
                <w:szCs w:val="24"/>
              </w:rPr>
            </w:pPr>
            <w:r w:rsidRPr="0057321D">
              <w:rPr>
                <w:rFonts w:ascii="Times New Roman" w:hAnsi="Times New Roman" w:cs="Times New Roman"/>
                <w:color w:val="000000"/>
                <w:sz w:val="24"/>
                <w:szCs w:val="24"/>
              </w:rPr>
              <w:t>79</w:t>
            </w:r>
            <w:r w:rsidR="00AB6A54" w:rsidRPr="0057321D">
              <w:rPr>
                <w:rFonts w:ascii="Times New Roman" w:hAnsi="Times New Roman" w:cs="Times New Roman"/>
                <w:color w:val="000000"/>
                <w:sz w:val="24"/>
                <w:szCs w:val="24"/>
              </w:rPr>
              <w:t xml:space="preserve"> (</w:t>
            </w:r>
            <w:r w:rsidRPr="0057321D">
              <w:rPr>
                <w:rFonts w:ascii="Times New Roman" w:hAnsi="Times New Roman" w:cs="Times New Roman"/>
                <w:color w:val="000000"/>
                <w:sz w:val="24"/>
                <w:szCs w:val="24"/>
              </w:rPr>
              <w:t>59</w:t>
            </w:r>
            <w:r w:rsidR="00AB6A54" w:rsidRPr="0057321D">
              <w:rPr>
                <w:rFonts w:ascii="Times New Roman" w:hAnsi="Times New Roman" w:cs="Times New Roman"/>
                <w:color w:val="000000"/>
                <w:sz w:val="24"/>
                <w:szCs w:val="24"/>
              </w:rPr>
              <w:t>, 10</w:t>
            </w:r>
            <w:r w:rsidRPr="0057321D">
              <w:rPr>
                <w:rFonts w:ascii="Times New Roman" w:hAnsi="Times New Roman" w:cs="Times New Roman"/>
                <w:color w:val="000000"/>
                <w:sz w:val="24"/>
                <w:szCs w:val="24"/>
              </w:rPr>
              <w:t>5</w:t>
            </w:r>
            <w:r w:rsidR="00AB6A54" w:rsidRPr="0057321D">
              <w:rPr>
                <w:rFonts w:ascii="Times New Roman" w:hAnsi="Times New Roman" w:cs="Times New Roman"/>
                <w:color w:val="000000"/>
                <w:sz w:val="24"/>
                <w:szCs w:val="24"/>
              </w:rPr>
              <w:t>)</w:t>
            </w:r>
          </w:p>
        </w:tc>
      </w:tr>
      <w:tr w:rsidR="00CB3DB7" w:rsidRPr="0057321D" w14:paraId="2AB146AB" w14:textId="77777777" w:rsidTr="00E30486">
        <w:trPr>
          <w:jc w:val="center"/>
        </w:trPr>
        <w:tc>
          <w:tcPr>
            <w:tcW w:w="2159" w:type="dxa"/>
            <w:tcBorders>
              <w:bottom w:val="nil"/>
            </w:tcBorders>
            <w:vAlign w:val="bottom"/>
          </w:tcPr>
          <w:p w14:paraId="2A803217" w14:textId="77777777" w:rsidR="00CB3DB7" w:rsidRPr="0057321D" w:rsidRDefault="00CB3DB7" w:rsidP="00810257">
            <w:pPr>
              <w:pStyle w:val="ListParagraph"/>
              <w:tabs>
                <w:tab w:val="left" w:pos="0"/>
              </w:tabs>
              <w:ind w:left="0"/>
              <w:jc w:val="center"/>
              <w:rPr>
                <w:rFonts w:ascii="Times New Roman" w:hAnsi="Times New Roman" w:cs="Times New Roman"/>
                <w:sz w:val="24"/>
                <w:szCs w:val="24"/>
              </w:rPr>
            </w:pPr>
            <w:r w:rsidRPr="0057321D">
              <w:rPr>
                <w:rFonts w:ascii="Times New Roman" w:hAnsi="Times New Roman" w:cs="Times New Roman"/>
                <w:color w:val="000000"/>
                <w:sz w:val="24"/>
                <w:szCs w:val="24"/>
              </w:rPr>
              <w:t>2015</w:t>
            </w:r>
          </w:p>
        </w:tc>
        <w:tc>
          <w:tcPr>
            <w:tcW w:w="3781" w:type="dxa"/>
            <w:tcBorders>
              <w:bottom w:val="nil"/>
            </w:tcBorders>
            <w:vAlign w:val="bottom"/>
          </w:tcPr>
          <w:p w14:paraId="130E67D0" w14:textId="3C82D2F2" w:rsidR="00CB3DB7" w:rsidRPr="0057321D" w:rsidRDefault="00AB6A54" w:rsidP="00810257">
            <w:pPr>
              <w:pStyle w:val="ListParagraph"/>
              <w:tabs>
                <w:tab w:val="left" w:pos="0"/>
              </w:tabs>
              <w:ind w:left="0"/>
              <w:jc w:val="center"/>
              <w:rPr>
                <w:rFonts w:ascii="Times New Roman" w:hAnsi="Times New Roman" w:cs="Times New Roman"/>
                <w:sz w:val="24"/>
                <w:szCs w:val="24"/>
              </w:rPr>
            </w:pPr>
            <w:r w:rsidRPr="0057321D">
              <w:rPr>
                <w:rFonts w:ascii="Times New Roman" w:hAnsi="Times New Roman" w:cs="Times New Roman"/>
                <w:color w:val="000000"/>
                <w:sz w:val="24"/>
                <w:szCs w:val="24"/>
              </w:rPr>
              <w:t>10</w:t>
            </w:r>
            <w:r w:rsidR="0003433C" w:rsidRPr="0057321D">
              <w:rPr>
                <w:rFonts w:ascii="Times New Roman" w:hAnsi="Times New Roman" w:cs="Times New Roman"/>
                <w:color w:val="000000"/>
                <w:sz w:val="24"/>
                <w:szCs w:val="24"/>
              </w:rPr>
              <w:t>8</w:t>
            </w:r>
            <w:r w:rsidR="00CB3DB7" w:rsidRPr="0057321D">
              <w:rPr>
                <w:rFonts w:ascii="Times New Roman" w:hAnsi="Times New Roman" w:cs="Times New Roman"/>
                <w:color w:val="000000"/>
                <w:sz w:val="24"/>
                <w:szCs w:val="24"/>
              </w:rPr>
              <w:t xml:space="preserve"> (</w:t>
            </w:r>
            <w:r w:rsidR="0003433C" w:rsidRPr="0057321D">
              <w:rPr>
                <w:rFonts w:ascii="Times New Roman" w:hAnsi="Times New Roman" w:cs="Times New Roman"/>
                <w:color w:val="000000"/>
                <w:sz w:val="24"/>
                <w:szCs w:val="24"/>
              </w:rPr>
              <w:t>62</w:t>
            </w:r>
            <w:r w:rsidR="00CB3DB7" w:rsidRPr="0057321D">
              <w:rPr>
                <w:rFonts w:ascii="Times New Roman" w:hAnsi="Times New Roman" w:cs="Times New Roman"/>
                <w:color w:val="000000"/>
                <w:sz w:val="24"/>
                <w:szCs w:val="24"/>
              </w:rPr>
              <w:t xml:space="preserve">, </w:t>
            </w:r>
            <w:r w:rsidRPr="0057321D">
              <w:rPr>
                <w:rFonts w:ascii="Times New Roman" w:hAnsi="Times New Roman" w:cs="Times New Roman"/>
                <w:color w:val="000000"/>
                <w:sz w:val="24"/>
                <w:szCs w:val="24"/>
              </w:rPr>
              <w:t>1</w:t>
            </w:r>
            <w:r w:rsidR="0003433C" w:rsidRPr="0057321D">
              <w:rPr>
                <w:rFonts w:ascii="Times New Roman" w:hAnsi="Times New Roman" w:cs="Times New Roman"/>
                <w:color w:val="000000"/>
                <w:sz w:val="24"/>
                <w:szCs w:val="24"/>
              </w:rPr>
              <w:t>72</w:t>
            </w:r>
            <w:r w:rsidR="00CB3DB7" w:rsidRPr="0057321D">
              <w:rPr>
                <w:rFonts w:ascii="Times New Roman" w:hAnsi="Times New Roman" w:cs="Times New Roman"/>
                <w:color w:val="000000"/>
                <w:sz w:val="24"/>
                <w:szCs w:val="24"/>
              </w:rPr>
              <w:t>)</w:t>
            </w:r>
          </w:p>
        </w:tc>
      </w:tr>
      <w:tr w:rsidR="00CB3DB7" w:rsidRPr="0057321D" w14:paraId="174F64AC" w14:textId="77777777" w:rsidTr="00E30486">
        <w:trPr>
          <w:jc w:val="center"/>
        </w:trPr>
        <w:tc>
          <w:tcPr>
            <w:tcW w:w="2159" w:type="dxa"/>
            <w:tcBorders>
              <w:top w:val="nil"/>
              <w:bottom w:val="single" w:sz="4" w:space="0" w:color="auto"/>
            </w:tcBorders>
            <w:vAlign w:val="bottom"/>
          </w:tcPr>
          <w:p w14:paraId="6DF0D91F" w14:textId="77777777" w:rsidR="00CB3DB7" w:rsidRPr="0057321D" w:rsidRDefault="00CB3DB7" w:rsidP="00810257">
            <w:pPr>
              <w:pStyle w:val="ListParagraph"/>
              <w:tabs>
                <w:tab w:val="left" w:pos="0"/>
              </w:tabs>
              <w:ind w:left="0"/>
              <w:jc w:val="center"/>
              <w:rPr>
                <w:rFonts w:ascii="Times New Roman" w:hAnsi="Times New Roman" w:cs="Times New Roman"/>
                <w:sz w:val="24"/>
                <w:szCs w:val="24"/>
              </w:rPr>
            </w:pPr>
            <w:r w:rsidRPr="0057321D">
              <w:rPr>
                <w:rFonts w:ascii="Times New Roman" w:hAnsi="Times New Roman" w:cs="Times New Roman"/>
                <w:color w:val="000000"/>
                <w:sz w:val="24"/>
                <w:szCs w:val="24"/>
              </w:rPr>
              <w:t>2016</w:t>
            </w:r>
          </w:p>
        </w:tc>
        <w:tc>
          <w:tcPr>
            <w:tcW w:w="3781" w:type="dxa"/>
            <w:tcBorders>
              <w:top w:val="nil"/>
              <w:bottom w:val="single" w:sz="4" w:space="0" w:color="auto"/>
            </w:tcBorders>
            <w:vAlign w:val="bottom"/>
          </w:tcPr>
          <w:p w14:paraId="4BC673A5" w14:textId="27F8F4C9" w:rsidR="00CB3DB7" w:rsidRPr="0057321D" w:rsidRDefault="00AB6A54" w:rsidP="00810257">
            <w:pPr>
              <w:pStyle w:val="ListParagraph"/>
              <w:tabs>
                <w:tab w:val="left" w:pos="0"/>
              </w:tabs>
              <w:ind w:left="0"/>
              <w:jc w:val="center"/>
              <w:rPr>
                <w:rFonts w:ascii="Times New Roman" w:hAnsi="Times New Roman" w:cs="Times New Roman"/>
                <w:sz w:val="24"/>
                <w:szCs w:val="24"/>
              </w:rPr>
            </w:pPr>
            <w:r w:rsidRPr="0057321D">
              <w:rPr>
                <w:rFonts w:ascii="Times New Roman" w:hAnsi="Times New Roman" w:cs="Times New Roman"/>
                <w:color w:val="000000"/>
                <w:sz w:val="24"/>
                <w:szCs w:val="24"/>
              </w:rPr>
              <w:t>14</w:t>
            </w:r>
            <w:r w:rsidR="0056123F" w:rsidRPr="0057321D">
              <w:rPr>
                <w:rFonts w:ascii="Times New Roman" w:hAnsi="Times New Roman" w:cs="Times New Roman"/>
                <w:color w:val="000000"/>
                <w:sz w:val="24"/>
                <w:szCs w:val="24"/>
              </w:rPr>
              <w:t>7</w:t>
            </w:r>
            <w:r w:rsidR="00CB3DB7" w:rsidRPr="0057321D">
              <w:rPr>
                <w:rFonts w:ascii="Times New Roman" w:hAnsi="Times New Roman" w:cs="Times New Roman"/>
                <w:color w:val="000000"/>
                <w:sz w:val="24"/>
                <w:szCs w:val="24"/>
              </w:rPr>
              <w:t xml:space="preserve"> (</w:t>
            </w:r>
            <w:r w:rsidRPr="0057321D">
              <w:rPr>
                <w:rFonts w:ascii="Times New Roman" w:hAnsi="Times New Roman" w:cs="Times New Roman"/>
                <w:color w:val="000000"/>
                <w:sz w:val="24"/>
                <w:szCs w:val="24"/>
              </w:rPr>
              <w:t>5</w:t>
            </w:r>
            <w:r w:rsidR="0056123F" w:rsidRPr="0057321D">
              <w:rPr>
                <w:rFonts w:ascii="Times New Roman" w:hAnsi="Times New Roman" w:cs="Times New Roman"/>
                <w:color w:val="000000"/>
                <w:sz w:val="24"/>
                <w:szCs w:val="24"/>
              </w:rPr>
              <w:t>3</w:t>
            </w:r>
            <w:r w:rsidR="00CB3DB7" w:rsidRPr="0057321D">
              <w:rPr>
                <w:rFonts w:ascii="Times New Roman" w:hAnsi="Times New Roman" w:cs="Times New Roman"/>
                <w:color w:val="000000"/>
                <w:sz w:val="24"/>
                <w:szCs w:val="24"/>
              </w:rPr>
              <w:t xml:space="preserve">, </w:t>
            </w:r>
            <w:r w:rsidRPr="0057321D">
              <w:rPr>
                <w:rFonts w:ascii="Times New Roman" w:hAnsi="Times New Roman" w:cs="Times New Roman"/>
                <w:color w:val="000000"/>
                <w:sz w:val="24"/>
                <w:szCs w:val="24"/>
              </w:rPr>
              <w:t>2</w:t>
            </w:r>
            <w:r w:rsidR="0056123F" w:rsidRPr="0057321D">
              <w:rPr>
                <w:rFonts w:ascii="Times New Roman" w:hAnsi="Times New Roman" w:cs="Times New Roman"/>
                <w:color w:val="000000"/>
                <w:sz w:val="24"/>
                <w:szCs w:val="24"/>
              </w:rPr>
              <w:t>82</w:t>
            </w:r>
            <w:r w:rsidR="00CB3DB7" w:rsidRPr="0057321D">
              <w:rPr>
                <w:rFonts w:ascii="Times New Roman" w:hAnsi="Times New Roman" w:cs="Times New Roman"/>
                <w:color w:val="000000"/>
                <w:sz w:val="24"/>
                <w:szCs w:val="24"/>
              </w:rPr>
              <w:t>)</w:t>
            </w:r>
          </w:p>
        </w:tc>
      </w:tr>
      <w:tr w:rsidR="00CB3DB7" w:rsidRPr="0057321D" w14:paraId="2FD79C46" w14:textId="77777777" w:rsidTr="00E30486">
        <w:trPr>
          <w:jc w:val="center"/>
        </w:trPr>
        <w:tc>
          <w:tcPr>
            <w:tcW w:w="2159" w:type="dxa"/>
            <w:tcBorders>
              <w:top w:val="single" w:sz="4" w:space="0" w:color="auto"/>
            </w:tcBorders>
            <w:vAlign w:val="bottom"/>
          </w:tcPr>
          <w:p w14:paraId="5BD5EB41" w14:textId="4CF0A1AF" w:rsidR="00CB3DB7" w:rsidRPr="0057321D" w:rsidRDefault="0002275A" w:rsidP="00810257">
            <w:pPr>
              <w:pStyle w:val="ListParagraph"/>
              <w:tabs>
                <w:tab w:val="left" w:pos="0"/>
              </w:tabs>
              <w:ind w:left="0"/>
              <w:jc w:val="center"/>
              <w:rPr>
                <w:rFonts w:ascii="Times New Roman" w:hAnsi="Times New Roman" w:cs="Times New Roman"/>
                <w:color w:val="000000"/>
                <w:sz w:val="24"/>
                <w:szCs w:val="24"/>
              </w:rPr>
            </w:pPr>
            <w:r w:rsidRPr="0057321D">
              <w:rPr>
                <w:rFonts w:ascii="Times New Roman" w:hAnsi="Times New Roman" w:cs="Times New Roman"/>
                <w:color w:val="000000"/>
                <w:sz w:val="24"/>
                <w:szCs w:val="24"/>
              </w:rPr>
              <w:t>Total</w:t>
            </w:r>
          </w:p>
        </w:tc>
        <w:tc>
          <w:tcPr>
            <w:tcW w:w="3781" w:type="dxa"/>
            <w:tcBorders>
              <w:top w:val="single" w:sz="4" w:space="0" w:color="auto"/>
            </w:tcBorders>
            <w:vAlign w:val="bottom"/>
          </w:tcPr>
          <w:p w14:paraId="38AF1579" w14:textId="03F0D59C" w:rsidR="00CB3DB7" w:rsidRPr="0057321D" w:rsidRDefault="00AB6A54" w:rsidP="00810257">
            <w:pPr>
              <w:pStyle w:val="ListParagraph"/>
              <w:tabs>
                <w:tab w:val="left" w:pos="0"/>
              </w:tabs>
              <w:ind w:left="0"/>
              <w:jc w:val="center"/>
              <w:rPr>
                <w:rFonts w:ascii="Times New Roman" w:hAnsi="Times New Roman" w:cs="Times New Roman"/>
                <w:color w:val="000000"/>
                <w:sz w:val="24"/>
                <w:szCs w:val="24"/>
              </w:rPr>
            </w:pPr>
            <w:r w:rsidRPr="0057321D">
              <w:rPr>
                <w:rFonts w:ascii="Times New Roman" w:hAnsi="Times New Roman" w:cs="Times New Roman"/>
                <w:color w:val="000000"/>
                <w:sz w:val="24"/>
                <w:szCs w:val="24"/>
              </w:rPr>
              <w:t>35</w:t>
            </w:r>
            <w:r w:rsidR="00251E94" w:rsidRPr="0057321D">
              <w:rPr>
                <w:rFonts w:ascii="Times New Roman" w:hAnsi="Times New Roman" w:cs="Times New Roman"/>
                <w:color w:val="000000"/>
                <w:sz w:val="24"/>
                <w:szCs w:val="24"/>
              </w:rPr>
              <w:t>2</w:t>
            </w:r>
            <w:r w:rsidR="00CB3DB7" w:rsidRPr="0057321D">
              <w:rPr>
                <w:rFonts w:ascii="Times New Roman" w:hAnsi="Times New Roman" w:cs="Times New Roman"/>
                <w:color w:val="000000"/>
                <w:sz w:val="24"/>
                <w:szCs w:val="24"/>
              </w:rPr>
              <w:t xml:space="preserve"> (</w:t>
            </w:r>
            <w:r w:rsidR="00251E94" w:rsidRPr="0057321D">
              <w:rPr>
                <w:rFonts w:ascii="Times New Roman" w:hAnsi="Times New Roman" w:cs="Times New Roman"/>
                <w:color w:val="000000"/>
                <w:sz w:val="24"/>
                <w:szCs w:val="24"/>
              </w:rPr>
              <w:t>189</w:t>
            </w:r>
            <w:r w:rsidR="00CB3DB7" w:rsidRPr="0057321D">
              <w:rPr>
                <w:rFonts w:ascii="Times New Roman" w:hAnsi="Times New Roman" w:cs="Times New Roman"/>
                <w:color w:val="000000"/>
                <w:sz w:val="24"/>
                <w:szCs w:val="24"/>
              </w:rPr>
              <w:t xml:space="preserve">, </w:t>
            </w:r>
            <w:r w:rsidRPr="0057321D">
              <w:rPr>
                <w:rFonts w:ascii="Times New Roman" w:hAnsi="Times New Roman" w:cs="Times New Roman"/>
                <w:color w:val="000000"/>
                <w:sz w:val="24"/>
                <w:szCs w:val="24"/>
              </w:rPr>
              <w:t>5</w:t>
            </w:r>
            <w:r w:rsidR="00251E94" w:rsidRPr="0057321D">
              <w:rPr>
                <w:rFonts w:ascii="Times New Roman" w:hAnsi="Times New Roman" w:cs="Times New Roman"/>
                <w:color w:val="000000"/>
                <w:sz w:val="24"/>
                <w:szCs w:val="24"/>
              </w:rPr>
              <w:t>80</w:t>
            </w:r>
            <w:r w:rsidR="00CB3DB7" w:rsidRPr="0057321D">
              <w:rPr>
                <w:rFonts w:ascii="Times New Roman" w:hAnsi="Times New Roman" w:cs="Times New Roman"/>
                <w:color w:val="000000"/>
                <w:sz w:val="24"/>
                <w:szCs w:val="24"/>
              </w:rPr>
              <w:t>)</w:t>
            </w:r>
          </w:p>
        </w:tc>
      </w:tr>
    </w:tbl>
    <w:p w14:paraId="5AE5F553" w14:textId="7FF84D96" w:rsidR="008D799B" w:rsidRPr="00810257" w:rsidRDefault="00AB6A54" w:rsidP="00810257">
      <w:pPr>
        <w:tabs>
          <w:tab w:val="left" w:pos="0"/>
        </w:tabs>
        <w:jc w:val="center"/>
        <w:rPr>
          <w:rFonts w:ascii="Times New Roman" w:hAnsi="Times New Roman" w:cs="Times New Roman"/>
        </w:rPr>
      </w:pPr>
      <w:r w:rsidRPr="00810257">
        <w:rPr>
          <w:rFonts w:ascii="Times New Roman" w:hAnsi="Times New Roman" w:cs="Times New Roman"/>
        </w:rPr>
        <w:t xml:space="preserve">* </w:t>
      </w:r>
      <w:r w:rsidR="003D0DB2">
        <w:rPr>
          <w:rFonts w:ascii="Times New Roman" w:hAnsi="Times New Roman" w:cs="Times New Roman"/>
        </w:rPr>
        <w:t>Partial year,</w:t>
      </w:r>
      <w:r w:rsidRPr="00810257">
        <w:rPr>
          <w:rFonts w:ascii="Times New Roman" w:hAnsi="Times New Roman" w:cs="Times New Roman"/>
        </w:rPr>
        <w:t xml:space="preserve"> August 2013 through December 2013</w:t>
      </w:r>
    </w:p>
    <w:p w14:paraId="59F0D1DA" w14:textId="0D3C078B" w:rsidR="009E6C5B" w:rsidRPr="0057321D" w:rsidRDefault="009E6C5B" w:rsidP="009E6C5B">
      <w:pPr>
        <w:rPr>
          <w:rFonts w:ascii="Times New Roman" w:hAnsi="Times New Roman" w:cs="Times New Roman"/>
          <w:i/>
          <w:sz w:val="24"/>
          <w:szCs w:val="24"/>
        </w:rPr>
      </w:pPr>
      <w:r>
        <w:rPr>
          <w:rFonts w:ascii="Times New Roman" w:hAnsi="Times New Roman" w:cs="Times New Roman"/>
          <w:i/>
          <w:sz w:val="24"/>
          <w:szCs w:val="24"/>
        </w:rPr>
        <w:t>V</w:t>
      </w:r>
      <w:r w:rsidRPr="0057321D">
        <w:rPr>
          <w:rFonts w:ascii="Times New Roman" w:hAnsi="Times New Roman" w:cs="Times New Roman"/>
          <w:i/>
          <w:sz w:val="24"/>
          <w:szCs w:val="24"/>
        </w:rPr>
        <w:t>alue of statistical life estimates</w:t>
      </w:r>
    </w:p>
    <w:p w14:paraId="06AF7B7B" w14:textId="77777777" w:rsidR="009E6C5B" w:rsidRPr="0057321D" w:rsidRDefault="009E6C5B" w:rsidP="009E6C5B">
      <w:pPr>
        <w:ind w:firstLine="720"/>
        <w:rPr>
          <w:rFonts w:ascii="Times New Roman" w:hAnsi="Times New Roman" w:cs="Times New Roman"/>
          <w:sz w:val="24"/>
          <w:szCs w:val="24"/>
        </w:rPr>
      </w:pPr>
      <w:r w:rsidRPr="0057321D">
        <w:rPr>
          <w:rFonts w:ascii="Times New Roman" w:hAnsi="Times New Roman" w:cs="Times New Roman"/>
          <w:sz w:val="24"/>
          <w:szCs w:val="24"/>
        </w:rPr>
        <w:t>The federal government often uses value of a statistical life (VSL) calculations when estimating the life-saving benefits of a particular policy or program. The VSL is based on how individuals value reductions in the risk of death. Much literature has been published on the appropriate measure of VSL, but there is considerable variation in that value. Federal agencies use different VSLs (</w:t>
      </w:r>
      <w:r>
        <w:rPr>
          <w:rFonts w:ascii="Times New Roman" w:hAnsi="Times New Roman" w:cs="Times New Roman"/>
          <w:sz w:val="24"/>
          <w:szCs w:val="24"/>
        </w:rPr>
        <w:t>CEA</w:t>
      </w:r>
      <w:r w:rsidRPr="0057321D">
        <w:rPr>
          <w:rFonts w:ascii="Times New Roman" w:hAnsi="Times New Roman" w:cs="Times New Roman"/>
          <w:sz w:val="24"/>
          <w:szCs w:val="24"/>
        </w:rPr>
        <w:t xml:space="preserve">, 2017). For example, the Department of Transportation (DOT) uses $9.6 million (with a range of $5.4 million – 13.4 million in 2015 dollars); the Environmental Protection Agency (EPA) uses $10.1 million (in 2015 dollars); and the Department of Health and Human Services (DHHS) uses $9.4 million (with a range of $4.4 – $14.3 million in 2015 dollars). These figures indicate a range of $4.4 - $14.3 million, with a median of $9.6 million. There are limitations to VSL calculations, and there is concern that some VSL estimates are overstated. </w:t>
      </w:r>
      <w:r>
        <w:rPr>
          <w:rFonts w:ascii="Times New Roman" w:hAnsi="Times New Roman" w:cs="Times New Roman"/>
          <w:sz w:val="24"/>
          <w:szCs w:val="24"/>
        </w:rPr>
        <w:t>We used a conservative value of $4.4 million in analyses.</w:t>
      </w:r>
    </w:p>
    <w:p w14:paraId="73A089AC" w14:textId="77777777" w:rsidR="003773CE" w:rsidRDefault="003773CE" w:rsidP="0057321D">
      <w:pPr>
        <w:rPr>
          <w:rFonts w:ascii="Times New Roman" w:hAnsi="Times New Roman" w:cs="Times New Roman"/>
          <w:sz w:val="24"/>
          <w:szCs w:val="24"/>
        </w:rPr>
      </w:pPr>
    </w:p>
    <w:p w14:paraId="45D0D3B5" w14:textId="20CE67A8" w:rsidR="00365ECF" w:rsidRPr="0057321D" w:rsidRDefault="00201123" w:rsidP="0057321D">
      <w:pPr>
        <w:rPr>
          <w:rFonts w:ascii="Times New Roman" w:hAnsi="Times New Roman" w:cs="Times New Roman"/>
          <w:i/>
          <w:sz w:val="24"/>
          <w:szCs w:val="24"/>
        </w:rPr>
      </w:pPr>
      <w:r w:rsidRPr="0057321D">
        <w:rPr>
          <w:rFonts w:ascii="Times New Roman" w:hAnsi="Times New Roman" w:cs="Times New Roman"/>
          <w:i/>
          <w:sz w:val="24"/>
          <w:szCs w:val="24"/>
        </w:rPr>
        <w:t>References</w:t>
      </w:r>
      <w:r w:rsidR="00ED0092" w:rsidRPr="0057321D">
        <w:rPr>
          <w:rFonts w:ascii="Times New Roman" w:hAnsi="Times New Roman" w:cs="Times New Roman"/>
          <w:i/>
          <w:sz w:val="24"/>
          <w:szCs w:val="24"/>
        </w:rPr>
        <w:t xml:space="preserve"> for online supplement</w:t>
      </w:r>
    </w:p>
    <w:p w14:paraId="43FAC45B" w14:textId="77777777" w:rsidR="00955BAA" w:rsidRPr="00955BAA" w:rsidRDefault="00955BAA" w:rsidP="00955BAA">
      <w:pPr>
        <w:pStyle w:val="NoSpacing"/>
        <w:ind w:left="360" w:hanging="360"/>
        <w:rPr>
          <w:rFonts w:ascii="Times New Roman" w:hAnsi="Times New Roman" w:cs="Times New Roman"/>
          <w:sz w:val="24"/>
          <w:szCs w:val="24"/>
        </w:rPr>
      </w:pPr>
      <w:r w:rsidRPr="00955BAA">
        <w:rPr>
          <w:rFonts w:ascii="Times New Roman" w:hAnsi="Times New Roman" w:cs="Times New Roman"/>
          <w:sz w:val="24"/>
          <w:szCs w:val="24"/>
        </w:rPr>
        <w:t>Coffin, P.O., Sullivan, S.D., 2013. Cost-effectiveness of distributing naloxone to heroin users for lay overdose reversal. Ann. Intern. Med. 158, 1-9.</w:t>
      </w:r>
    </w:p>
    <w:p w14:paraId="064B9E3F" w14:textId="77777777" w:rsidR="00955BAA" w:rsidRPr="00955BAA" w:rsidRDefault="00955BAA" w:rsidP="00955BAA">
      <w:pPr>
        <w:pStyle w:val="NoSpacing"/>
        <w:ind w:left="360" w:hanging="360"/>
        <w:rPr>
          <w:rFonts w:ascii="Times New Roman" w:hAnsi="Times New Roman" w:cs="Times New Roman"/>
          <w:sz w:val="24"/>
          <w:szCs w:val="24"/>
        </w:rPr>
      </w:pPr>
      <w:r w:rsidRPr="00955BAA">
        <w:rPr>
          <w:rFonts w:ascii="Times New Roman" w:hAnsi="Times New Roman" w:cs="Times New Roman"/>
          <w:sz w:val="24"/>
          <w:szCs w:val="24"/>
        </w:rPr>
        <w:t>The Council of Economic Advisers (CEA), 2017. The underestimated cost of the opioid crisis. Washington, DC: CEA. Available online: https://www.whitehouse.gov/sites/whitehouse.gov/files/images/The%20Underestimated%20Cost%20of%20the%20Opioid%20Crisis.pdf. Accessed on December 11, 2018.</w:t>
      </w:r>
    </w:p>
    <w:p w14:paraId="3C50AD73" w14:textId="7E1AEC84" w:rsidR="003773CE" w:rsidRDefault="003773CE">
      <w:pPr>
        <w:rPr>
          <w:rFonts w:ascii="Times New Roman" w:hAnsi="Times New Roman" w:cs="Times New Roman"/>
          <w:sz w:val="24"/>
          <w:szCs w:val="24"/>
        </w:rPr>
      </w:pPr>
      <w:r>
        <w:rPr>
          <w:rFonts w:ascii="Times New Roman" w:hAnsi="Times New Roman" w:cs="Times New Roman"/>
          <w:sz w:val="24"/>
          <w:szCs w:val="24"/>
        </w:rPr>
        <w:br w:type="page"/>
      </w:r>
    </w:p>
    <w:p w14:paraId="54F7C29F" w14:textId="3AC64F16" w:rsidR="004A0AF9" w:rsidRPr="0057321D" w:rsidRDefault="002C342C" w:rsidP="0057321D">
      <w:pPr>
        <w:pStyle w:val="ListParagraph"/>
        <w:numPr>
          <w:ilvl w:val="0"/>
          <w:numId w:val="6"/>
        </w:numPr>
        <w:rPr>
          <w:rFonts w:ascii="Times New Roman" w:hAnsi="Times New Roman" w:cs="Times New Roman"/>
          <w:sz w:val="24"/>
          <w:szCs w:val="24"/>
        </w:rPr>
      </w:pPr>
      <w:r w:rsidRPr="0057321D">
        <w:rPr>
          <w:rFonts w:ascii="Times New Roman" w:hAnsi="Times New Roman" w:cs="Times New Roman"/>
          <w:b/>
          <w:sz w:val="24"/>
          <w:szCs w:val="24"/>
        </w:rPr>
        <w:lastRenderedPageBreak/>
        <w:t xml:space="preserve">FIGURE S1. </w:t>
      </w:r>
      <w:r w:rsidR="00EA5DFB" w:rsidRPr="0057321D">
        <w:rPr>
          <w:rFonts w:ascii="Times New Roman" w:hAnsi="Times New Roman" w:cs="Times New Roman"/>
          <w:sz w:val="24"/>
          <w:szCs w:val="24"/>
        </w:rPr>
        <w:t>Number and rate of opioid overdose deaths</w:t>
      </w:r>
      <w:r w:rsidR="00810257">
        <w:rPr>
          <w:rFonts w:ascii="Times New Roman" w:hAnsi="Times New Roman" w:cs="Times New Roman"/>
          <w:sz w:val="24"/>
          <w:szCs w:val="24"/>
        </w:rPr>
        <w:t>*</w:t>
      </w:r>
      <w:r w:rsidR="00EA5DFB" w:rsidRPr="0057321D">
        <w:rPr>
          <w:rFonts w:ascii="Times New Roman" w:hAnsi="Times New Roman" w:cs="Times New Roman"/>
          <w:sz w:val="24"/>
          <w:szCs w:val="24"/>
        </w:rPr>
        <w:t xml:space="preserve"> per 100,000 population, North Carolina, 2000-2016</w:t>
      </w:r>
    </w:p>
    <w:p w14:paraId="65FB69E8" w14:textId="77777777" w:rsidR="00810257" w:rsidRDefault="00E5518D" w:rsidP="00810257">
      <w:pPr>
        <w:jc w:val="center"/>
        <w:rPr>
          <w:rFonts w:ascii="Times New Roman" w:hAnsi="Times New Roman" w:cs="Times New Roman"/>
          <w:b/>
          <w:sz w:val="24"/>
          <w:szCs w:val="24"/>
        </w:rPr>
      </w:pPr>
      <w:r w:rsidRPr="0057321D">
        <w:rPr>
          <w:rFonts w:ascii="Times New Roman" w:hAnsi="Times New Roman" w:cs="Times New Roman"/>
          <w:noProof/>
          <w:sz w:val="24"/>
          <w:szCs w:val="24"/>
        </w:rPr>
        <w:drawing>
          <wp:inline distT="0" distB="0" distL="0" distR="0" wp14:anchorId="7A107201" wp14:editId="79D9ECFC">
            <wp:extent cx="7581900" cy="52101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4E809A" w14:textId="4CF82049" w:rsidR="00810257" w:rsidRPr="00810257" w:rsidRDefault="00810257" w:rsidP="0057321D">
      <w:pPr>
        <w:rPr>
          <w:rFonts w:ascii="Times New Roman" w:hAnsi="Times New Roman" w:cs="Times New Roman"/>
          <w:b/>
          <w:sz w:val="24"/>
          <w:szCs w:val="24"/>
        </w:rPr>
      </w:pPr>
      <w:r w:rsidRPr="00810257">
        <w:rPr>
          <w:rFonts w:ascii="Times New Roman" w:hAnsi="Times New Roman" w:cs="Times New Roman"/>
          <w:b/>
          <w:sz w:val="20"/>
          <w:szCs w:val="20"/>
        </w:rPr>
        <w:t>*</w:t>
      </w:r>
      <w:r w:rsidRPr="00810257">
        <w:rPr>
          <w:rFonts w:ascii="Times New Roman" w:hAnsi="Times New Roman" w:cs="Times New Roman"/>
          <w:sz w:val="20"/>
          <w:szCs w:val="20"/>
        </w:rPr>
        <w:t xml:space="preserve"> Opioid overdose deaths were defined as any death associated with an ICD-10 code of T40.0 (opium), T40.1 (heroin), T40.2 (other opioids, commonly prescribed opioids), T40.3 (methadone), T40.4 (other synthetic narcotics, commonly fentanyl or its analogs), or T40.6 (other and unspecified narcotics).</w:t>
      </w:r>
    </w:p>
    <w:sectPr w:rsidR="00810257" w:rsidRPr="00810257" w:rsidSect="00E3048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17E2" w14:textId="77777777" w:rsidR="00376E4E" w:rsidRDefault="00376E4E" w:rsidP="00EE5EB1">
      <w:pPr>
        <w:spacing w:after="0" w:line="240" w:lineRule="auto"/>
      </w:pPr>
      <w:r>
        <w:separator/>
      </w:r>
    </w:p>
  </w:endnote>
  <w:endnote w:type="continuationSeparator" w:id="0">
    <w:p w14:paraId="3EA9C3D4" w14:textId="77777777" w:rsidR="00376E4E" w:rsidRDefault="00376E4E" w:rsidP="00EE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70E9" w14:textId="77777777" w:rsidR="00376E4E" w:rsidRDefault="00376E4E" w:rsidP="00EE5EB1">
      <w:pPr>
        <w:spacing w:after="0" w:line="240" w:lineRule="auto"/>
      </w:pPr>
      <w:r>
        <w:separator/>
      </w:r>
    </w:p>
  </w:footnote>
  <w:footnote w:type="continuationSeparator" w:id="0">
    <w:p w14:paraId="2D76E2A9" w14:textId="77777777" w:rsidR="00376E4E" w:rsidRDefault="00376E4E" w:rsidP="00EE5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901"/>
    <w:multiLevelType w:val="hybridMultilevel"/>
    <w:tmpl w:val="21B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F61A6"/>
    <w:multiLevelType w:val="hybridMultilevel"/>
    <w:tmpl w:val="8A1A9F00"/>
    <w:lvl w:ilvl="0" w:tplc="7744E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C60988"/>
    <w:multiLevelType w:val="hybridMultilevel"/>
    <w:tmpl w:val="684E08BC"/>
    <w:lvl w:ilvl="0" w:tplc="7ACEB1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972E6"/>
    <w:multiLevelType w:val="hybridMultilevel"/>
    <w:tmpl w:val="8FC29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D48D4"/>
    <w:multiLevelType w:val="hybridMultilevel"/>
    <w:tmpl w:val="56A43F66"/>
    <w:lvl w:ilvl="0" w:tplc="0BFE8C4A">
      <w:start w:val="3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C5B55"/>
    <w:multiLevelType w:val="hybridMultilevel"/>
    <w:tmpl w:val="E0E06C6C"/>
    <w:lvl w:ilvl="0" w:tplc="4DBA38A0">
      <w:start w:val="3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CF"/>
    <w:rsid w:val="00005072"/>
    <w:rsid w:val="0001243F"/>
    <w:rsid w:val="0001413A"/>
    <w:rsid w:val="00015152"/>
    <w:rsid w:val="000166CC"/>
    <w:rsid w:val="0002275A"/>
    <w:rsid w:val="00023660"/>
    <w:rsid w:val="00026975"/>
    <w:rsid w:val="00030715"/>
    <w:rsid w:val="00031070"/>
    <w:rsid w:val="0003140B"/>
    <w:rsid w:val="0003433C"/>
    <w:rsid w:val="00040B01"/>
    <w:rsid w:val="000466E2"/>
    <w:rsid w:val="000560AB"/>
    <w:rsid w:val="00064398"/>
    <w:rsid w:val="000759AE"/>
    <w:rsid w:val="0007624E"/>
    <w:rsid w:val="00077F6D"/>
    <w:rsid w:val="00093E3E"/>
    <w:rsid w:val="000A06F5"/>
    <w:rsid w:val="000A71C3"/>
    <w:rsid w:val="000A7FBF"/>
    <w:rsid w:val="000C367B"/>
    <w:rsid w:val="000C42BC"/>
    <w:rsid w:val="000C518A"/>
    <w:rsid w:val="000D3DEA"/>
    <w:rsid w:val="000E1E18"/>
    <w:rsid w:val="000F1DA9"/>
    <w:rsid w:val="000F21C4"/>
    <w:rsid w:val="00107DD9"/>
    <w:rsid w:val="00113D8E"/>
    <w:rsid w:val="00115BD0"/>
    <w:rsid w:val="00121A5F"/>
    <w:rsid w:val="001272A1"/>
    <w:rsid w:val="00141ADC"/>
    <w:rsid w:val="00144DFE"/>
    <w:rsid w:val="00145E61"/>
    <w:rsid w:val="00151AA9"/>
    <w:rsid w:val="00161341"/>
    <w:rsid w:val="00173A54"/>
    <w:rsid w:val="001830FD"/>
    <w:rsid w:val="0018442D"/>
    <w:rsid w:val="001945FD"/>
    <w:rsid w:val="001A2736"/>
    <w:rsid w:val="001B1754"/>
    <w:rsid w:val="001B7D22"/>
    <w:rsid w:val="001C0503"/>
    <w:rsid w:val="001C309D"/>
    <w:rsid w:val="001E0083"/>
    <w:rsid w:val="001E4A9D"/>
    <w:rsid w:val="001E618A"/>
    <w:rsid w:val="00201123"/>
    <w:rsid w:val="00203DF3"/>
    <w:rsid w:val="00204178"/>
    <w:rsid w:val="002058BB"/>
    <w:rsid w:val="00206DE2"/>
    <w:rsid w:val="00222060"/>
    <w:rsid w:val="00231BFD"/>
    <w:rsid w:val="00232A69"/>
    <w:rsid w:val="00237A7F"/>
    <w:rsid w:val="0025093D"/>
    <w:rsid w:val="00251E94"/>
    <w:rsid w:val="00254BEA"/>
    <w:rsid w:val="0025631D"/>
    <w:rsid w:val="00256695"/>
    <w:rsid w:val="00263B10"/>
    <w:rsid w:val="00264118"/>
    <w:rsid w:val="00274BE3"/>
    <w:rsid w:val="002768BE"/>
    <w:rsid w:val="00280E13"/>
    <w:rsid w:val="00282784"/>
    <w:rsid w:val="00282CE8"/>
    <w:rsid w:val="00282E83"/>
    <w:rsid w:val="00282FEA"/>
    <w:rsid w:val="00284233"/>
    <w:rsid w:val="0028771A"/>
    <w:rsid w:val="00293A48"/>
    <w:rsid w:val="00296557"/>
    <w:rsid w:val="00297A40"/>
    <w:rsid w:val="002A2CBB"/>
    <w:rsid w:val="002A62ED"/>
    <w:rsid w:val="002A6B16"/>
    <w:rsid w:val="002A7C74"/>
    <w:rsid w:val="002B11E0"/>
    <w:rsid w:val="002B3325"/>
    <w:rsid w:val="002B3788"/>
    <w:rsid w:val="002B46F5"/>
    <w:rsid w:val="002B485E"/>
    <w:rsid w:val="002C342C"/>
    <w:rsid w:val="002C46F1"/>
    <w:rsid w:val="002C5947"/>
    <w:rsid w:val="002C697E"/>
    <w:rsid w:val="002E3D39"/>
    <w:rsid w:val="002F3D5A"/>
    <w:rsid w:val="0030247B"/>
    <w:rsid w:val="00304584"/>
    <w:rsid w:val="00305486"/>
    <w:rsid w:val="00327214"/>
    <w:rsid w:val="003272CA"/>
    <w:rsid w:val="00331BEF"/>
    <w:rsid w:val="003333BC"/>
    <w:rsid w:val="00334F2A"/>
    <w:rsid w:val="0034787D"/>
    <w:rsid w:val="00365E44"/>
    <w:rsid w:val="00365ECF"/>
    <w:rsid w:val="0037308E"/>
    <w:rsid w:val="00373A50"/>
    <w:rsid w:val="00376299"/>
    <w:rsid w:val="00376E4E"/>
    <w:rsid w:val="003773CE"/>
    <w:rsid w:val="00392527"/>
    <w:rsid w:val="00392967"/>
    <w:rsid w:val="00392D6A"/>
    <w:rsid w:val="003A666B"/>
    <w:rsid w:val="003B1001"/>
    <w:rsid w:val="003B1AFE"/>
    <w:rsid w:val="003B30C8"/>
    <w:rsid w:val="003B3B69"/>
    <w:rsid w:val="003B51A8"/>
    <w:rsid w:val="003B6783"/>
    <w:rsid w:val="003C46EE"/>
    <w:rsid w:val="003C5FED"/>
    <w:rsid w:val="003C775B"/>
    <w:rsid w:val="003D0DB2"/>
    <w:rsid w:val="003D462A"/>
    <w:rsid w:val="003E1D5D"/>
    <w:rsid w:val="003E264F"/>
    <w:rsid w:val="003E3FB7"/>
    <w:rsid w:val="003E57E5"/>
    <w:rsid w:val="003E6C7E"/>
    <w:rsid w:val="003E7088"/>
    <w:rsid w:val="003F00E2"/>
    <w:rsid w:val="003F21D5"/>
    <w:rsid w:val="003F4121"/>
    <w:rsid w:val="003F540E"/>
    <w:rsid w:val="003F6BAB"/>
    <w:rsid w:val="00407409"/>
    <w:rsid w:val="00413E17"/>
    <w:rsid w:val="00432E6F"/>
    <w:rsid w:val="004355C8"/>
    <w:rsid w:val="00442A30"/>
    <w:rsid w:val="0045004B"/>
    <w:rsid w:val="004565E4"/>
    <w:rsid w:val="00457BFB"/>
    <w:rsid w:val="0046399A"/>
    <w:rsid w:val="00492135"/>
    <w:rsid w:val="004A0AF9"/>
    <w:rsid w:val="004A1EC2"/>
    <w:rsid w:val="004A5A7D"/>
    <w:rsid w:val="004A5F00"/>
    <w:rsid w:val="004B07D6"/>
    <w:rsid w:val="004B1169"/>
    <w:rsid w:val="004B2064"/>
    <w:rsid w:val="004B4446"/>
    <w:rsid w:val="004B557C"/>
    <w:rsid w:val="004B7A56"/>
    <w:rsid w:val="004C31BB"/>
    <w:rsid w:val="004D2438"/>
    <w:rsid w:val="004D5274"/>
    <w:rsid w:val="004D7F6C"/>
    <w:rsid w:val="004E1F79"/>
    <w:rsid w:val="004E3193"/>
    <w:rsid w:val="004F0997"/>
    <w:rsid w:val="004F7FCB"/>
    <w:rsid w:val="005165F0"/>
    <w:rsid w:val="00525B44"/>
    <w:rsid w:val="005267D8"/>
    <w:rsid w:val="005302F7"/>
    <w:rsid w:val="0053501D"/>
    <w:rsid w:val="00535044"/>
    <w:rsid w:val="0054232E"/>
    <w:rsid w:val="00550DFA"/>
    <w:rsid w:val="005543A8"/>
    <w:rsid w:val="00560249"/>
    <w:rsid w:val="0056123F"/>
    <w:rsid w:val="00570EAD"/>
    <w:rsid w:val="0057321D"/>
    <w:rsid w:val="00573413"/>
    <w:rsid w:val="0058055A"/>
    <w:rsid w:val="00583472"/>
    <w:rsid w:val="005956D8"/>
    <w:rsid w:val="005967A6"/>
    <w:rsid w:val="00597302"/>
    <w:rsid w:val="005A299C"/>
    <w:rsid w:val="005B0342"/>
    <w:rsid w:val="005B2FAD"/>
    <w:rsid w:val="005B6477"/>
    <w:rsid w:val="005C7B3D"/>
    <w:rsid w:val="005D297C"/>
    <w:rsid w:val="005E4783"/>
    <w:rsid w:val="005E5C93"/>
    <w:rsid w:val="00606CD0"/>
    <w:rsid w:val="0061241B"/>
    <w:rsid w:val="00621D8E"/>
    <w:rsid w:val="00622794"/>
    <w:rsid w:val="006238B0"/>
    <w:rsid w:val="006426B3"/>
    <w:rsid w:val="0064609A"/>
    <w:rsid w:val="00646CBF"/>
    <w:rsid w:val="00647714"/>
    <w:rsid w:val="006514E0"/>
    <w:rsid w:val="00653C68"/>
    <w:rsid w:val="006679DD"/>
    <w:rsid w:val="00676F54"/>
    <w:rsid w:val="00677212"/>
    <w:rsid w:val="00677804"/>
    <w:rsid w:val="00683446"/>
    <w:rsid w:val="006902EA"/>
    <w:rsid w:val="00693664"/>
    <w:rsid w:val="00693B9E"/>
    <w:rsid w:val="006A3ED6"/>
    <w:rsid w:val="006A3F86"/>
    <w:rsid w:val="006A579F"/>
    <w:rsid w:val="006A5B9D"/>
    <w:rsid w:val="006B2CA2"/>
    <w:rsid w:val="006B4E8D"/>
    <w:rsid w:val="006C03F4"/>
    <w:rsid w:val="006C43E3"/>
    <w:rsid w:val="006C6BE1"/>
    <w:rsid w:val="006C7CC4"/>
    <w:rsid w:val="006C7E56"/>
    <w:rsid w:val="006D0D29"/>
    <w:rsid w:val="006D6627"/>
    <w:rsid w:val="006D70E5"/>
    <w:rsid w:val="006F24A0"/>
    <w:rsid w:val="006F373E"/>
    <w:rsid w:val="006F467A"/>
    <w:rsid w:val="00707DDF"/>
    <w:rsid w:val="00711417"/>
    <w:rsid w:val="007168F2"/>
    <w:rsid w:val="00723A68"/>
    <w:rsid w:val="00724C1F"/>
    <w:rsid w:val="00740F0D"/>
    <w:rsid w:val="00750BA5"/>
    <w:rsid w:val="00766D02"/>
    <w:rsid w:val="007702AC"/>
    <w:rsid w:val="00771F7A"/>
    <w:rsid w:val="007760B7"/>
    <w:rsid w:val="00777758"/>
    <w:rsid w:val="00777A0C"/>
    <w:rsid w:val="00777BD2"/>
    <w:rsid w:val="007908DE"/>
    <w:rsid w:val="00792D3F"/>
    <w:rsid w:val="00794D74"/>
    <w:rsid w:val="007A229A"/>
    <w:rsid w:val="007A66ED"/>
    <w:rsid w:val="007C238E"/>
    <w:rsid w:val="007D4705"/>
    <w:rsid w:val="007D541F"/>
    <w:rsid w:val="007E536D"/>
    <w:rsid w:val="007E714A"/>
    <w:rsid w:val="007F0922"/>
    <w:rsid w:val="007F2032"/>
    <w:rsid w:val="007F26A6"/>
    <w:rsid w:val="0080449A"/>
    <w:rsid w:val="00810257"/>
    <w:rsid w:val="00814DC3"/>
    <w:rsid w:val="00822337"/>
    <w:rsid w:val="008374C0"/>
    <w:rsid w:val="00841A8E"/>
    <w:rsid w:val="00843D0F"/>
    <w:rsid w:val="00860063"/>
    <w:rsid w:val="00861628"/>
    <w:rsid w:val="00861AA1"/>
    <w:rsid w:val="0088243A"/>
    <w:rsid w:val="00882474"/>
    <w:rsid w:val="00883FE8"/>
    <w:rsid w:val="00885EE9"/>
    <w:rsid w:val="008907E2"/>
    <w:rsid w:val="00892AAF"/>
    <w:rsid w:val="00892E4A"/>
    <w:rsid w:val="0089467B"/>
    <w:rsid w:val="00895C1A"/>
    <w:rsid w:val="008A2679"/>
    <w:rsid w:val="008A304B"/>
    <w:rsid w:val="008A5A16"/>
    <w:rsid w:val="008A7258"/>
    <w:rsid w:val="008A7BA2"/>
    <w:rsid w:val="008B6062"/>
    <w:rsid w:val="008C3626"/>
    <w:rsid w:val="008C3AD3"/>
    <w:rsid w:val="008C7462"/>
    <w:rsid w:val="008D506B"/>
    <w:rsid w:val="008D57BB"/>
    <w:rsid w:val="008D76D0"/>
    <w:rsid w:val="008D799B"/>
    <w:rsid w:val="008F4294"/>
    <w:rsid w:val="0090058D"/>
    <w:rsid w:val="00900B96"/>
    <w:rsid w:val="00911A1A"/>
    <w:rsid w:val="00922741"/>
    <w:rsid w:val="009233BF"/>
    <w:rsid w:val="0092592E"/>
    <w:rsid w:val="00932C5B"/>
    <w:rsid w:val="00933858"/>
    <w:rsid w:val="0093579F"/>
    <w:rsid w:val="009417B0"/>
    <w:rsid w:val="0094225F"/>
    <w:rsid w:val="00943C0B"/>
    <w:rsid w:val="00944E71"/>
    <w:rsid w:val="00947F1C"/>
    <w:rsid w:val="00953F71"/>
    <w:rsid w:val="00955BAA"/>
    <w:rsid w:val="009566E3"/>
    <w:rsid w:val="00967AB2"/>
    <w:rsid w:val="00975901"/>
    <w:rsid w:val="00981B3D"/>
    <w:rsid w:val="00993621"/>
    <w:rsid w:val="009A229D"/>
    <w:rsid w:val="009A2CAE"/>
    <w:rsid w:val="009A5743"/>
    <w:rsid w:val="009B34C2"/>
    <w:rsid w:val="009B5922"/>
    <w:rsid w:val="009B6F4F"/>
    <w:rsid w:val="009C5081"/>
    <w:rsid w:val="009D3634"/>
    <w:rsid w:val="009E0920"/>
    <w:rsid w:val="009E6C5B"/>
    <w:rsid w:val="009F6D50"/>
    <w:rsid w:val="00A01DA1"/>
    <w:rsid w:val="00A16C3D"/>
    <w:rsid w:val="00A218A0"/>
    <w:rsid w:val="00A26163"/>
    <w:rsid w:val="00A35588"/>
    <w:rsid w:val="00A37428"/>
    <w:rsid w:val="00A417D2"/>
    <w:rsid w:val="00A43B6F"/>
    <w:rsid w:val="00A46359"/>
    <w:rsid w:val="00A50D24"/>
    <w:rsid w:val="00A601B2"/>
    <w:rsid w:val="00A602DF"/>
    <w:rsid w:val="00A661D0"/>
    <w:rsid w:val="00A8337C"/>
    <w:rsid w:val="00A837CF"/>
    <w:rsid w:val="00A90150"/>
    <w:rsid w:val="00A90771"/>
    <w:rsid w:val="00A93A8B"/>
    <w:rsid w:val="00AA5D91"/>
    <w:rsid w:val="00AB17E0"/>
    <w:rsid w:val="00AB383A"/>
    <w:rsid w:val="00AB3D41"/>
    <w:rsid w:val="00AB6A54"/>
    <w:rsid w:val="00AC1AFB"/>
    <w:rsid w:val="00AD04A5"/>
    <w:rsid w:val="00AD1BFE"/>
    <w:rsid w:val="00AD6A14"/>
    <w:rsid w:val="00AF1466"/>
    <w:rsid w:val="00AF264B"/>
    <w:rsid w:val="00AF3CD9"/>
    <w:rsid w:val="00B10A83"/>
    <w:rsid w:val="00B15565"/>
    <w:rsid w:val="00B16C33"/>
    <w:rsid w:val="00B23A20"/>
    <w:rsid w:val="00B23C06"/>
    <w:rsid w:val="00B2566D"/>
    <w:rsid w:val="00B40220"/>
    <w:rsid w:val="00B4412B"/>
    <w:rsid w:val="00B802FB"/>
    <w:rsid w:val="00B804E4"/>
    <w:rsid w:val="00B810B5"/>
    <w:rsid w:val="00B816AE"/>
    <w:rsid w:val="00B9232F"/>
    <w:rsid w:val="00B94AA6"/>
    <w:rsid w:val="00B9625E"/>
    <w:rsid w:val="00BA64FF"/>
    <w:rsid w:val="00BA70A4"/>
    <w:rsid w:val="00BA76A3"/>
    <w:rsid w:val="00BB0862"/>
    <w:rsid w:val="00BB2B86"/>
    <w:rsid w:val="00BB4DA3"/>
    <w:rsid w:val="00BC55DF"/>
    <w:rsid w:val="00BD16E1"/>
    <w:rsid w:val="00BD34B0"/>
    <w:rsid w:val="00BE1789"/>
    <w:rsid w:val="00BE2ECF"/>
    <w:rsid w:val="00BE5243"/>
    <w:rsid w:val="00BE5749"/>
    <w:rsid w:val="00BE58BB"/>
    <w:rsid w:val="00BE5A91"/>
    <w:rsid w:val="00BF67C7"/>
    <w:rsid w:val="00BF7263"/>
    <w:rsid w:val="00C207DD"/>
    <w:rsid w:val="00C30A17"/>
    <w:rsid w:val="00C3105D"/>
    <w:rsid w:val="00C32FDE"/>
    <w:rsid w:val="00C36BB5"/>
    <w:rsid w:val="00C41E11"/>
    <w:rsid w:val="00C44CEF"/>
    <w:rsid w:val="00C46357"/>
    <w:rsid w:val="00C4780D"/>
    <w:rsid w:val="00C506FD"/>
    <w:rsid w:val="00C5159C"/>
    <w:rsid w:val="00C570CA"/>
    <w:rsid w:val="00C624D8"/>
    <w:rsid w:val="00C65F5D"/>
    <w:rsid w:val="00C8558C"/>
    <w:rsid w:val="00C90B7A"/>
    <w:rsid w:val="00C91AC8"/>
    <w:rsid w:val="00C96571"/>
    <w:rsid w:val="00CA14CA"/>
    <w:rsid w:val="00CA418E"/>
    <w:rsid w:val="00CB323A"/>
    <w:rsid w:val="00CB3DB7"/>
    <w:rsid w:val="00CB661A"/>
    <w:rsid w:val="00CD00ED"/>
    <w:rsid w:val="00CD1369"/>
    <w:rsid w:val="00CD2D4D"/>
    <w:rsid w:val="00CD4DEB"/>
    <w:rsid w:val="00CD6958"/>
    <w:rsid w:val="00CD7388"/>
    <w:rsid w:val="00CF45ED"/>
    <w:rsid w:val="00D002A3"/>
    <w:rsid w:val="00D16ED2"/>
    <w:rsid w:val="00D2073D"/>
    <w:rsid w:val="00D31DD8"/>
    <w:rsid w:val="00D32048"/>
    <w:rsid w:val="00D40E7B"/>
    <w:rsid w:val="00D576E2"/>
    <w:rsid w:val="00D57850"/>
    <w:rsid w:val="00D66326"/>
    <w:rsid w:val="00D75F58"/>
    <w:rsid w:val="00D77438"/>
    <w:rsid w:val="00D87543"/>
    <w:rsid w:val="00DA056D"/>
    <w:rsid w:val="00DA07B8"/>
    <w:rsid w:val="00DA148A"/>
    <w:rsid w:val="00DB4ACD"/>
    <w:rsid w:val="00DB6CC0"/>
    <w:rsid w:val="00DC5D28"/>
    <w:rsid w:val="00DD3228"/>
    <w:rsid w:val="00DD5E3A"/>
    <w:rsid w:val="00DE243D"/>
    <w:rsid w:val="00DE3572"/>
    <w:rsid w:val="00DE71EB"/>
    <w:rsid w:val="00DF13B7"/>
    <w:rsid w:val="00DF6510"/>
    <w:rsid w:val="00E00476"/>
    <w:rsid w:val="00E01CA8"/>
    <w:rsid w:val="00E0248C"/>
    <w:rsid w:val="00E05222"/>
    <w:rsid w:val="00E067DA"/>
    <w:rsid w:val="00E116FF"/>
    <w:rsid w:val="00E178C3"/>
    <w:rsid w:val="00E225C1"/>
    <w:rsid w:val="00E25AEA"/>
    <w:rsid w:val="00E30486"/>
    <w:rsid w:val="00E30D60"/>
    <w:rsid w:val="00E41985"/>
    <w:rsid w:val="00E42949"/>
    <w:rsid w:val="00E5363D"/>
    <w:rsid w:val="00E5518D"/>
    <w:rsid w:val="00E563A1"/>
    <w:rsid w:val="00E60D02"/>
    <w:rsid w:val="00E61C23"/>
    <w:rsid w:val="00E63CA7"/>
    <w:rsid w:val="00E67B50"/>
    <w:rsid w:val="00E86C45"/>
    <w:rsid w:val="00E86DED"/>
    <w:rsid w:val="00E90920"/>
    <w:rsid w:val="00E93388"/>
    <w:rsid w:val="00EA5DFB"/>
    <w:rsid w:val="00EA7DF5"/>
    <w:rsid w:val="00EB45DA"/>
    <w:rsid w:val="00EB4919"/>
    <w:rsid w:val="00EC75BA"/>
    <w:rsid w:val="00EC79B4"/>
    <w:rsid w:val="00ED0092"/>
    <w:rsid w:val="00ED328F"/>
    <w:rsid w:val="00ED3E1F"/>
    <w:rsid w:val="00EE1D63"/>
    <w:rsid w:val="00EE55A7"/>
    <w:rsid w:val="00EE5EB1"/>
    <w:rsid w:val="00EE602F"/>
    <w:rsid w:val="00EE637A"/>
    <w:rsid w:val="00EF5653"/>
    <w:rsid w:val="00EF6CCE"/>
    <w:rsid w:val="00F12C11"/>
    <w:rsid w:val="00F2239D"/>
    <w:rsid w:val="00F4225E"/>
    <w:rsid w:val="00F44CBE"/>
    <w:rsid w:val="00F47073"/>
    <w:rsid w:val="00F47C9B"/>
    <w:rsid w:val="00F53C43"/>
    <w:rsid w:val="00F5655F"/>
    <w:rsid w:val="00F60EC7"/>
    <w:rsid w:val="00F62753"/>
    <w:rsid w:val="00F66766"/>
    <w:rsid w:val="00F743C1"/>
    <w:rsid w:val="00F82F9A"/>
    <w:rsid w:val="00F937DA"/>
    <w:rsid w:val="00F9396E"/>
    <w:rsid w:val="00FA28B2"/>
    <w:rsid w:val="00FA7C14"/>
    <w:rsid w:val="00FB3E13"/>
    <w:rsid w:val="00FB6D63"/>
    <w:rsid w:val="00FC152B"/>
    <w:rsid w:val="00FC2013"/>
    <w:rsid w:val="00FC4E94"/>
    <w:rsid w:val="00FC5A50"/>
    <w:rsid w:val="00FC6A6A"/>
    <w:rsid w:val="00FC7F9B"/>
    <w:rsid w:val="00FD085C"/>
    <w:rsid w:val="00FD5CA2"/>
    <w:rsid w:val="00FE6808"/>
    <w:rsid w:val="00FF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15E8"/>
  <w15:chartTrackingRefBased/>
  <w15:docId w15:val="{C909E012-5EBA-4E03-9871-08E030B2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ECF"/>
    <w:pPr>
      <w:ind w:left="720"/>
      <w:contextualSpacing/>
    </w:pPr>
  </w:style>
  <w:style w:type="character" w:styleId="Hyperlink">
    <w:name w:val="Hyperlink"/>
    <w:basedOn w:val="DefaultParagraphFont"/>
    <w:uiPriority w:val="99"/>
    <w:unhideWhenUsed/>
    <w:rsid w:val="00CD6958"/>
    <w:rPr>
      <w:color w:val="0563C1" w:themeColor="hyperlink"/>
      <w:u w:val="single"/>
    </w:rPr>
  </w:style>
  <w:style w:type="character" w:styleId="FollowedHyperlink">
    <w:name w:val="FollowedHyperlink"/>
    <w:basedOn w:val="DefaultParagraphFont"/>
    <w:uiPriority w:val="99"/>
    <w:semiHidden/>
    <w:unhideWhenUsed/>
    <w:rsid w:val="00892E4A"/>
    <w:rPr>
      <w:color w:val="954F72" w:themeColor="followedHyperlink"/>
      <w:u w:val="single"/>
    </w:rPr>
  </w:style>
  <w:style w:type="table" w:styleId="TableGrid">
    <w:name w:val="Table Grid"/>
    <w:basedOn w:val="TableNormal"/>
    <w:uiPriority w:val="39"/>
    <w:rsid w:val="0089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BFB"/>
    <w:rPr>
      <w:sz w:val="16"/>
      <w:szCs w:val="16"/>
    </w:rPr>
  </w:style>
  <w:style w:type="paragraph" w:styleId="CommentText">
    <w:name w:val="annotation text"/>
    <w:basedOn w:val="Normal"/>
    <w:link w:val="CommentTextChar"/>
    <w:uiPriority w:val="99"/>
    <w:semiHidden/>
    <w:unhideWhenUsed/>
    <w:rsid w:val="00457BFB"/>
    <w:pPr>
      <w:spacing w:line="240" w:lineRule="auto"/>
    </w:pPr>
    <w:rPr>
      <w:sz w:val="20"/>
      <w:szCs w:val="20"/>
    </w:rPr>
  </w:style>
  <w:style w:type="character" w:customStyle="1" w:styleId="CommentTextChar">
    <w:name w:val="Comment Text Char"/>
    <w:basedOn w:val="DefaultParagraphFont"/>
    <w:link w:val="CommentText"/>
    <w:uiPriority w:val="99"/>
    <w:semiHidden/>
    <w:rsid w:val="00457BFB"/>
    <w:rPr>
      <w:sz w:val="20"/>
      <w:szCs w:val="20"/>
    </w:rPr>
  </w:style>
  <w:style w:type="paragraph" w:styleId="CommentSubject">
    <w:name w:val="annotation subject"/>
    <w:basedOn w:val="CommentText"/>
    <w:next w:val="CommentText"/>
    <w:link w:val="CommentSubjectChar"/>
    <w:uiPriority w:val="99"/>
    <w:semiHidden/>
    <w:unhideWhenUsed/>
    <w:rsid w:val="00457BFB"/>
    <w:rPr>
      <w:b/>
      <w:bCs/>
    </w:rPr>
  </w:style>
  <w:style w:type="character" w:customStyle="1" w:styleId="CommentSubjectChar">
    <w:name w:val="Comment Subject Char"/>
    <w:basedOn w:val="CommentTextChar"/>
    <w:link w:val="CommentSubject"/>
    <w:uiPriority w:val="99"/>
    <w:semiHidden/>
    <w:rsid w:val="00457BFB"/>
    <w:rPr>
      <w:b/>
      <w:bCs/>
      <w:sz w:val="20"/>
      <w:szCs w:val="20"/>
    </w:rPr>
  </w:style>
  <w:style w:type="paragraph" w:styleId="BalloonText">
    <w:name w:val="Balloon Text"/>
    <w:basedOn w:val="Normal"/>
    <w:link w:val="BalloonTextChar"/>
    <w:uiPriority w:val="99"/>
    <w:semiHidden/>
    <w:unhideWhenUsed/>
    <w:rsid w:val="00457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FB"/>
    <w:rPr>
      <w:rFonts w:ascii="Segoe UI" w:hAnsi="Segoe UI" w:cs="Segoe UI"/>
      <w:sz w:val="18"/>
      <w:szCs w:val="18"/>
    </w:rPr>
  </w:style>
  <w:style w:type="paragraph" w:styleId="Header">
    <w:name w:val="header"/>
    <w:basedOn w:val="Normal"/>
    <w:link w:val="HeaderChar"/>
    <w:uiPriority w:val="99"/>
    <w:unhideWhenUsed/>
    <w:rsid w:val="00EE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B1"/>
  </w:style>
  <w:style w:type="paragraph" w:styleId="Footer">
    <w:name w:val="footer"/>
    <w:basedOn w:val="Normal"/>
    <w:link w:val="FooterChar"/>
    <w:uiPriority w:val="99"/>
    <w:unhideWhenUsed/>
    <w:rsid w:val="00EE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EB1"/>
  </w:style>
  <w:style w:type="paragraph" w:styleId="NoSpacing">
    <w:name w:val="No Spacing"/>
    <w:uiPriority w:val="1"/>
    <w:qFormat/>
    <w:rsid w:val="00955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4750">
      <w:bodyDiv w:val="1"/>
      <w:marLeft w:val="0"/>
      <w:marRight w:val="0"/>
      <w:marTop w:val="0"/>
      <w:marBottom w:val="0"/>
      <w:divBdr>
        <w:top w:val="none" w:sz="0" w:space="0" w:color="auto"/>
        <w:left w:val="none" w:sz="0" w:space="0" w:color="auto"/>
        <w:bottom w:val="none" w:sz="0" w:space="0" w:color="auto"/>
        <w:right w:val="none" w:sz="0" w:space="0" w:color="auto"/>
      </w:divBdr>
    </w:div>
    <w:div w:id="350302207">
      <w:bodyDiv w:val="1"/>
      <w:marLeft w:val="0"/>
      <w:marRight w:val="0"/>
      <w:marTop w:val="0"/>
      <w:marBottom w:val="0"/>
      <w:divBdr>
        <w:top w:val="none" w:sz="0" w:space="0" w:color="auto"/>
        <w:left w:val="none" w:sz="0" w:space="0" w:color="auto"/>
        <w:bottom w:val="none" w:sz="0" w:space="0" w:color="auto"/>
        <w:right w:val="none" w:sz="0" w:space="0" w:color="auto"/>
      </w:divBdr>
    </w:div>
    <w:div w:id="404454391">
      <w:bodyDiv w:val="1"/>
      <w:marLeft w:val="0"/>
      <w:marRight w:val="0"/>
      <w:marTop w:val="0"/>
      <w:marBottom w:val="0"/>
      <w:divBdr>
        <w:top w:val="none" w:sz="0" w:space="0" w:color="auto"/>
        <w:left w:val="none" w:sz="0" w:space="0" w:color="auto"/>
        <w:bottom w:val="none" w:sz="0" w:space="0" w:color="auto"/>
        <w:right w:val="none" w:sz="0" w:space="0" w:color="auto"/>
      </w:divBdr>
    </w:div>
    <w:div w:id="864714074">
      <w:bodyDiv w:val="1"/>
      <w:marLeft w:val="0"/>
      <w:marRight w:val="0"/>
      <w:marTop w:val="0"/>
      <w:marBottom w:val="0"/>
      <w:divBdr>
        <w:top w:val="none" w:sz="0" w:space="0" w:color="auto"/>
        <w:left w:val="none" w:sz="0" w:space="0" w:color="auto"/>
        <w:bottom w:val="none" w:sz="0" w:space="0" w:color="auto"/>
        <w:right w:val="none" w:sz="0" w:space="0" w:color="auto"/>
      </w:divBdr>
    </w:div>
    <w:div w:id="1016080088">
      <w:bodyDiv w:val="1"/>
      <w:marLeft w:val="0"/>
      <w:marRight w:val="0"/>
      <w:marTop w:val="0"/>
      <w:marBottom w:val="0"/>
      <w:divBdr>
        <w:top w:val="none" w:sz="0" w:space="0" w:color="auto"/>
        <w:left w:val="none" w:sz="0" w:space="0" w:color="auto"/>
        <w:bottom w:val="none" w:sz="0" w:space="0" w:color="auto"/>
        <w:right w:val="none" w:sz="0" w:space="0" w:color="auto"/>
      </w:divBdr>
    </w:div>
    <w:div w:id="1270625602">
      <w:bodyDiv w:val="1"/>
      <w:marLeft w:val="0"/>
      <w:marRight w:val="0"/>
      <w:marTop w:val="0"/>
      <w:marBottom w:val="0"/>
      <w:divBdr>
        <w:top w:val="none" w:sz="0" w:space="0" w:color="auto"/>
        <w:left w:val="none" w:sz="0" w:space="0" w:color="auto"/>
        <w:bottom w:val="none" w:sz="0" w:space="0" w:color="auto"/>
        <w:right w:val="none" w:sz="0" w:space="0" w:color="auto"/>
      </w:divBdr>
    </w:div>
    <w:div w:id="1287278678">
      <w:bodyDiv w:val="1"/>
      <w:marLeft w:val="0"/>
      <w:marRight w:val="0"/>
      <w:marTop w:val="0"/>
      <w:marBottom w:val="0"/>
      <w:divBdr>
        <w:top w:val="none" w:sz="0" w:space="0" w:color="auto"/>
        <w:left w:val="none" w:sz="0" w:space="0" w:color="auto"/>
        <w:bottom w:val="none" w:sz="0" w:space="0" w:color="auto"/>
        <w:right w:val="none" w:sz="0" w:space="0" w:color="auto"/>
      </w:divBdr>
    </w:div>
    <w:div w:id="1918054392">
      <w:bodyDiv w:val="1"/>
      <w:marLeft w:val="0"/>
      <w:marRight w:val="0"/>
      <w:marTop w:val="0"/>
      <w:marBottom w:val="0"/>
      <w:divBdr>
        <w:top w:val="none" w:sz="0" w:space="0" w:color="auto"/>
        <w:left w:val="none" w:sz="0" w:space="0" w:color="auto"/>
        <w:bottom w:val="none" w:sz="0" w:space="0" w:color="auto"/>
        <w:right w:val="none" w:sz="0" w:space="0" w:color="auto"/>
      </w:divBdr>
    </w:div>
    <w:div w:id="19230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naumann\Dropbox\UNC%20work\General%20PDO\Prevention%20for%20States%20BOOST%20funding\Naloxone\Naloxone_lives%20saved%20calculations_with%20new%20cost%20benefit%20analysi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3267973856209"/>
          <c:y val="2.7002989843660848E-2"/>
          <c:w val="0.78166666666666662"/>
          <c:h val="0.85237092319981744"/>
        </c:manualLayout>
      </c:layout>
      <c:lineChart>
        <c:grouping val="standard"/>
        <c:varyColors val="0"/>
        <c:ser>
          <c:idx val="2"/>
          <c:order val="0"/>
          <c:tx>
            <c:strRef>
              <c:f>'Data for figure- new OD def'!$B$1</c:f>
              <c:strCache>
                <c:ptCount val="1"/>
                <c:pt idx="0">
                  <c:v>Deaths</c:v>
                </c:pt>
              </c:strCache>
            </c:strRef>
          </c:tx>
          <c:spPr>
            <a:ln w="38100" cap="rnd">
              <a:solidFill>
                <a:schemeClr val="tx1"/>
              </a:solidFill>
              <a:round/>
            </a:ln>
            <a:effectLst/>
          </c:spPr>
          <c:marker>
            <c:symbol val="none"/>
          </c:marker>
          <c:cat>
            <c:numRef>
              <c:f>'Data for figure- new OD def'!$A$2:$A$18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'Data for figure- new OD def'!$B$2:$B$18</c:f>
              <c:numCache>
                <c:formatCode>General</c:formatCode>
                <c:ptCount val="17"/>
                <c:pt idx="0">
                  <c:v>278</c:v>
                </c:pt>
                <c:pt idx="1">
                  <c:v>331</c:v>
                </c:pt>
                <c:pt idx="2">
                  <c:v>405</c:v>
                </c:pt>
                <c:pt idx="3">
                  <c:v>503</c:v>
                </c:pt>
                <c:pt idx="4">
                  <c:v>575</c:v>
                </c:pt>
                <c:pt idx="5">
                  <c:v>656</c:v>
                </c:pt>
                <c:pt idx="6">
                  <c:v>700</c:v>
                </c:pt>
                <c:pt idx="7">
                  <c:v>756</c:v>
                </c:pt>
                <c:pt idx="8">
                  <c:v>852</c:v>
                </c:pt>
                <c:pt idx="9">
                  <c:v>843</c:v>
                </c:pt>
                <c:pt idx="10">
                  <c:v>766</c:v>
                </c:pt>
                <c:pt idx="11">
                  <c:v>787</c:v>
                </c:pt>
                <c:pt idx="12">
                  <c:v>818</c:v>
                </c:pt>
                <c:pt idx="13">
                  <c:v>816</c:v>
                </c:pt>
                <c:pt idx="14">
                  <c:v>941</c:v>
                </c:pt>
                <c:pt idx="15">
                  <c:v>1146</c:v>
                </c:pt>
                <c:pt idx="16">
                  <c:v>1454</c:v>
                </c:pt>
              </c:numCache>
            </c:numRef>
          </c:val>
          <c:smooth val="0"/>
          <c:extLst>
            <c:ext xmlns:c16="http://schemas.microsoft.com/office/drawing/2014/chart" uri="{C3380CC4-5D6E-409C-BE32-E72D297353CC}">
              <c16:uniqueId val="{00000000-13FA-405E-935F-C7B5EAD26D4C}"/>
            </c:ext>
          </c:extLst>
        </c:ser>
        <c:dLbls>
          <c:showLegendKey val="0"/>
          <c:showVal val="0"/>
          <c:showCatName val="0"/>
          <c:showSerName val="0"/>
          <c:showPercent val="0"/>
          <c:showBubbleSize val="0"/>
        </c:dLbls>
        <c:marker val="1"/>
        <c:smooth val="0"/>
        <c:axId val="535233256"/>
        <c:axId val="535232272"/>
      </c:lineChart>
      <c:lineChart>
        <c:grouping val="standard"/>
        <c:varyColors val="0"/>
        <c:ser>
          <c:idx val="0"/>
          <c:order val="1"/>
          <c:tx>
            <c:strRef>
              <c:f>'Data for figure- new OD def'!$C$1</c:f>
              <c:strCache>
                <c:ptCount val="1"/>
                <c:pt idx="0">
                  <c:v>Death rate per 100,000 population</c:v>
                </c:pt>
              </c:strCache>
            </c:strRef>
          </c:tx>
          <c:spPr>
            <a:ln w="34925" cap="rnd">
              <a:solidFill>
                <a:schemeClr val="tx1"/>
              </a:solidFill>
              <a:prstDash val="dash"/>
              <a:round/>
            </a:ln>
            <a:effectLst/>
          </c:spPr>
          <c:marker>
            <c:symbol val="none"/>
          </c:marker>
          <c:val>
            <c:numRef>
              <c:f>'Data for figure- new OD def'!$C$2:$C$18</c:f>
              <c:numCache>
                <c:formatCode>0.00</c:formatCode>
                <c:ptCount val="17"/>
                <c:pt idx="0">
                  <c:v>3.4537108943334665</c:v>
                </c:pt>
                <c:pt idx="1">
                  <c:v>4.0316087872993842</c:v>
                </c:pt>
                <c:pt idx="2">
                  <c:v>4.8641631399482188</c:v>
                </c:pt>
                <c:pt idx="3">
                  <c:v>5.972097836497734</c:v>
                </c:pt>
                <c:pt idx="4">
                  <c:v>6.7226678539092948</c:v>
                </c:pt>
                <c:pt idx="5">
                  <c:v>7.5355465861619111</c:v>
                </c:pt>
                <c:pt idx="6">
                  <c:v>7.8499361351624426</c:v>
                </c:pt>
                <c:pt idx="7">
                  <c:v>8.2912583048303041</c:v>
                </c:pt>
                <c:pt idx="8">
                  <c:v>9.1519917021941897</c:v>
                </c:pt>
                <c:pt idx="9">
                  <c:v>8.9210446278696818</c:v>
                </c:pt>
                <c:pt idx="10">
                  <c:v>8.03315364308237</c:v>
                </c:pt>
                <c:pt idx="11">
                  <c:v>8.1500343658056451</c:v>
                </c:pt>
                <c:pt idx="12">
                  <c:v>8.3879601803637041</c:v>
                </c:pt>
                <c:pt idx="13">
                  <c:v>8.2858959023401564</c:v>
                </c:pt>
                <c:pt idx="14">
                  <c:v>9.4630270181991811</c:v>
                </c:pt>
                <c:pt idx="15">
                  <c:v>11.411157961692364</c:v>
                </c:pt>
                <c:pt idx="16">
                  <c:v>14.329657818809263</c:v>
                </c:pt>
              </c:numCache>
            </c:numRef>
          </c:val>
          <c:smooth val="0"/>
          <c:extLst>
            <c:ext xmlns:c16="http://schemas.microsoft.com/office/drawing/2014/chart" uri="{C3380CC4-5D6E-409C-BE32-E72D297353CC}">
              <c16:uniqueId val="{00000001-13FA-405E-935F-C7B5EAD26D4C}"/>
            </c:ext>
          </c:extLst>
        </c:ser>
        <c:dLbls>
          <c:showLegendKey val="0"/>
          <c:showVal val="0"/>
          <c:showCatName val="0"/>
          <c:showSerName val="0"/>
          <c:showPercent val="0"/>
          <c:showBubbleSize val="0"/>
        </c:dLbls>
        <c:marker val="1"/>
        <c:smooth val="0"/>
        <c:axId val="659126296"/>
        <c:axId val="659113176"/>
      </c:lineChart>
      <c:catAx>
        <c:axId val="535233256"/>
        <c:scaling>
          <c:orientation val="minMax"/>
        </c:scaling>
        <c:delete val="0"/>
        <c:axPos val="b"/>
        <c:title>
          <c:tx>
            <c:rich>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a:solidFill>
                      <a:sysClr val="windowText" lastClr="000000"/>
                    </a:solidFill>
                  </a:rPr>
                  <a:t>Year</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232272"/>
        <c:crosses val="autoZero"/>
        <c:auto val="1"/>
        <c:lblAlgn val="ctr"/>
        <c:lblOffset val="100"/>
        <c:noMultiLvlLbl val="0"/>
      </c:catAx>
      <c:valAx>
        <c:axId val="53523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a:solidFill>
                      <a:sysClr val="windowText" lastClr="000000"/>
                    </a:solidFill>
                  </a:rPr>
                  <a:t>Number of opioid overdose deaths</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233256"/>
        <c:crosses val="autoZero"/>
        <c:crossBetween val="between"/>
      </c:valAx>
      <c:valAx>
        <c:axId val="659113176"/>
        <c:scaling>
          <c:orientation val="minMax"/>
        </c:scaling>
        <c:delete val="0"/>
        <c:axPos val="r"/>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a:solidFill>
                      <a:sysClr val="windowText" lastClr="000000"/>
                    </a:solidFill>
                  </a:rPr>
                  <a:t>Rate of opioid overdose deaths per 100,000</a:t>
                </a:r>
                <a:r>
                  <a:rPr lang="en-US" sz="1400" baseline="0">
                    <a:solidFill>
                      <a:sysClr val="windowText" lastClr="000000"/>
                    </a:solidFill>
                  </a:rPr>
                  <a:t> population</a:t>
                </a:r>
                <a:endParaRPr lang="en-US" sz="1400">
                  <a:solidFill>
                    <a:sysClr val="windowText" lastClr="000000"/>
                  </a:solidFill>
                </a:endParaRPr>
              </a:p>
            </c:rich>
          </c:tx>
          <c:layout>
            <c:manualLayout>
              <c:xMode val="edge"/>
              <c:yMode val="edge"/>
              <c:x val="0.95245098039215681"/>
              <c:y val="9.241163984936665E-2"/>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9126296"/>
        <c:crosses val="max"/>
        <c:crossBetween val="between"/>
      </c:valAx>
      <c:catAx>
        <c:axId val="659126296"/>
        <c:scaling>
          <c:orientation val="minMax"/>
        </c:scaling>
        <c:delete val="1"/>
        <c:axPos val="b"/>
        <c:majorTickMark val="out"/>
        <c:minorTickMark val="none"/>
        <c:tickLblPos val="nextTo"/>
        <c:crossAx val="6591131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0.12458</cdr:x>
      <cdr:y>0.6131</cdr:y>
    </cdr:from>
    <cdr:to>
      <cdr:x>0.19819</cdr:x>
      <cdr:y>0.65991</cdr:y>
    </cdr:to>
    <cdr:sp macro="" textlink="">
      <cdr:nvSpPr>
        <cdr:cNvPr id="2" name="TextBox 1"/>
        <cdr:cNvSpPr txBox="1"/>
      </cdr:nvSpPr>
      <cdr:spPr>
        <a:xfrm xmlns:a="http://schemas.openxmlformats.org/drawingml/2006/main">
          <a:off x="1080154" y="3859098"/>
          <a:ext cx="638274" cy="2945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a:latin typeface="Times New Roman" panose="02020603050405020304" pitchFamily="18" charset="0"/>
              <a:cs typeface="Times New Roman" panose="02020603050405020304" pitchFamily="18" charset="0"/>
            </a:rPr>
            <a:t>Rate</a:t>
          </a:r>
        </a:p>
      </cdr:txBody>
    </cdr:sp>
  </cdr:relSizeAnchor>
  <cdr:relSizeAnchor xmlns:cdr="http://schemas.openxmlformats.org/drawingml/2006/chartDrawing">
    <cdr:from>
      <cdr:x>0.16648</cdr:x>
      <cdr:y>0.70827</cdr:y>
    </cdr:from>
    <cdr:to>
      <cdr:x>0.27194</cdr:x>
      <cdr:y>0.85354</cdr:y>
    </cdr:to>
    <cdr:sp macro="" textlink="">
      <cdr:nvSpPr>
        <cdr:cNvPr id="3" name="TextBox 2"/>
        <cdr:cNvSpPr txBox="1"/>
      </cdr:nvSpPr>
      <cdr:spPr>
        <a:xfrm xmlns:a="http://schemas.openxmlformats.org/drawingml/2006/main">
          <a:off x="1443479" y="445809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a:latin typeface="Times New Roman" panose="02020603050405020304" pitchFamily="18" charset="0"/>
              <a:cs typeface="Times New Roman" panose="02020603050405020304" pitchFamily="18" charset="0"/>
            </a:rPr>
            <a:t>Number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FC27-274A-4EA2-817E-87E50781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Durrance, Christine Piette</dc:creator>
  <cp:keywords/>
  <dc:description/>
  <cp:lastModifiedBy>Becky Naumann</cp:lastModifiedBy>
  <cp:revision>3</cp:revision>
  <cp:lastPrinted>2018-08-31T17:40:00Z</cp:lastPrinted>
  <dcterms:created xsi:type="dcterms:W3CDTF">2019-04-17T20:14:00Z</dcterms:created>
  <dcterms:modified xsi:type="dcterms:W3CDTF">2019-04-17T20:19:00Z</dcterms:modified>
</cp:coreProperties>
</file>