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5B114" w14:textId="75A03293" w:rsidR="00B650C3" w:rsidRPr="00761418" w:rsidRDefault="00F26841" w:rsidP="0097481C">
      <w:pPr>
        <w:jc w:val="center"/>
        <w:rPr>
          <w:szCs w:val="24"/>
        </w:rPr>
      </w:pPr>
      <w:r>
        <w:rPr>
          <w:b/>
          <w:szCs w:val="24"/>
        </w:rPr>
        <w:t>Supp</w:t>
      </w:r>
      <w:r w:rsidR="00BA16B0">
        <w:rPr>
          <w:b/>
          <w:szCs w:val="24"/>
        </w:rPr>
        <w:t>lementary material</w:t>
      </w:r>
    </w:p>
    <w:p w14:paraId="2EB72F06" w14:textId="77777777" w:rsidR="00B650C3" w:rsidRPr="00761418" w:rsidRDefault="00B650C3" w:rsidP="00B650C3">
      <w:pPr>
        <w:rPr>
          <w:szCs w:val="24"/>
        </w:rPr>
      </w:pPr>
    </w:p>
    <w:p w14:paraId="4493BC17" w14:textId="77777777" w:rsidR="00B650C3" w:rsidRPr="00761418" w:rsidRDefault="00B650C3" w:rsidP="00B650C3">
      <w:pPr>
        <w:rPr>
          <w:b/>
          <w:szCs w:val="24"/>
        </w:rPr>
      </w:pPr>
      <w:r w:rsidRPr="00761418">
        <w:rPr>
          <w:b/>
          <w:szCs w:val="24"/>
        </w:rPr>
        <w:t>Table of Contents</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70"/>
        <w:gridCol w:w="1170"/>
      </w:tblGrid>
      <w:tr w:rsidR="00B650C3" w:rsidRPr="00761418" w14:paraId="61D364B9" w14:textId="77777777" w:rsidTr="00007185">
        <w:trPr>
          <w:trHeight w:val="467"/>
        </w:trPr>
        <w:tc>
          <w:tcPr>
            <w:tcW w:w="8370" w:type="dxa"/>
          </w:tcPr>
          <w:p w14:paraId="72A3A00F" w14:textId="77777777" w:rsidR="00B650C3" w:rsidRPr="00761418" w:rsidRDefault="00B650C3" w:rsidP="00007185">
            <w:pPr>
              <w:rPr>
                <w:b/>
                <w:szCs w:val="24"/>
              </w:rPr>
            </w:pPr>
            <w:r w:rsidRPr="00761418">
              <w:rPr>
                <w:b/>
                <w:szCs w:val="24"/>
              </w:rPr>
              <w:t>Title</w:t>
            </w:r>
          </w:p>
        </w:tc>
        <w:tc>
          <w:tcPr>
            <w:tcW w:w="1170" w:type="dxa"/>
          </w:tcPr>
          <w:p w14:paraId="0A405A43" w14:textId="77777777" w:rsidR="00B650C3" w:rsidRPr="00761418" w:rsidRDefault="00B650C3" w:rsidP="00007185">
            <w:pPr>
              <w:jc w:val="center"/>
              <w:rPr>
                <w:b/>
                <w:szCs w:val="24"/>
              </w:rPr>
            </w:pPr>
            <w:r w:rsidRPr="00761418">
              <w:rPr>
                <w:b/>
                <w:szCs w:val="24"/>
              </w:rPr>
              <w:t>Page number</w:t>
            </w:r>
          </w:p>
        </w:tc>
      </w:tr>
      <w:tr w:rsidR="00B650C3" w:rsidRPr="00761418" w14:paraId="6A27476A" w14:textId="77777777" w:rsidTr="00007185">
        <w:trPr>
          <w:trHeight w:val="467"/>
        </w:trPr>
        <w:tc>
          <w:tcPr>
            <w:tcW w:w="8370" w:type="dxa"/>
          </w:tcPr>
          <w:p w14:paraId="05CC09BE" w14:textId="5CF3A249" w:rsidR="00B650C3" w:rsidRPr="00761418" w:rsidRDefault="00761418" w:rsidP="00007185">
            <w:pPr>
              <w:rPr>
                <w:szCs w:val="24"/>
              </w:rPr>
            </w:pPr>
            <w:r>
              <w:rPr>
                <w:b/>
                <w:szCs w:val="24"/>
              </w:rPr>
              <w:t xml:space="preserve">Supplementary </w:t>
            </w:r>
            <w:r w:rsidR="00B650C3" w:rsidRPr="00761418">
              <w:rPr>
                <w:b/>
                <w:szCs w:val="24"/>
              </w:rPr>
              <w:t xml:space="preserve">Table 1: </w:t>
            </w:r>
            <w:r w:rsidR="00B650C3" w:rsidRPr="00761418">
              <w:rPr>
                <w:szCs w:val="24"/>
              </w:rPr>
              <w:t>HCC-specific causes of death based on SEER cause-specific death classification………………………………………………</w:t>
            </w:r>
          </w:p>
          <w:p w14:paraId="7F9E6D26" w14:textId="77777777" w:rsidR="00B650C3" w:rsidRPr="00761418" w:rsidRDefault="00B650C3" w:rsidP="00007185">
            <w:pPr>
              <w:rPr>
                <w:b/>
                <w:szCs w:val="24"/>
              </w:rPr>
            </w:pPr>
          </w:p>
        </w:tc>
        <w:tc>
          <w:tcPr>
            <w:tcW w:w="1170" w:type="dxa"/>
          </w:tcPr>
          <w:p w14:paraId="7BCE54AB" w14:textId="77777777" w:rsidR="00B650C3" w:rsidRPr="00761418" w:rsidRDefault="00B650C3" w:rsidP="00007185">
            <w:pPr>
              <w:jc w:val="center"/>
              <w:rPr>
                <w:b/>
                <w:szCs w:val="24"/>
              </w:rPr>
            </w:pPr>
          </w:p>
          <w:p w14:paraId="35932CB7" w14:textId="77777777" w:rsidR="00B650C3" w:rsidRPr="00761418" w:rsidRDefault="00B650C3" w:rsidP="00007185">
            <w:pPr>
              <w:jc w:val="center"/>
              <w:rPr>
                <w:szCs w:val="24"/>
              </w:rPr>
            </w:pPr>
            <w:r w:rsidRPr="00761418">
              <w:rPr>
                <w:szCs w:val="24"/>
              </w:rPr>
              <w:t>2</w:t>
            </w:r>
          </w:p>
        </w:tc>
      </w:tr>
      <w:tr w:rsidR="00B650C3" w:rsidRPr="00761418" w14:paraId="7C0C869A" w14:textId="77777777" w:rsidTr="00007185">
        <w:trPr>
          <w:trHeight w:val="467"/>
        </w:trPr>
        <w:tc>
          <w:tcPr>
            <w:tcW w:w="8370" w:type="dxa"/>
          </w:tcPr>
          <w:p w14:paraId="7FEB8CAA" w14:textId="394205FB" w:rsidR="00B650C3" w:rsidRPr="00761418" w:rsidRDefault="00761418" w:rsidP="00007185">
            <w:pPr>
              <w:rPr>
                <w:b/>
                <w:szCs w:val="24"/>
              </w:rPr>
            </w:pPr>
            <w:r>
              <w:rPr>
                <w:b/>
                <w:szCs w:val="24"/>
              </w:rPr>
              <w:t xml:space="preserve">Supplementary </w:t>
            </w:r>
            <w:r w:rsidR="00B650C3" w:rsidRPr="00761418">
              <w:rPr>
                <w:b/>
                <w:szCs w:val="24"/>
              </w:rPr>
              <w:t xml:space="preserve">Table 2: </w:t>
            </w:r>
            <w:r w:rsidR="00B650C3" w:rsidRPr="00761418">
              <w:rPr>
                <w:szCs w:val="24"/>
              </w:rPr>
              <w:t xml:space="preserve">Trends in incidence and IBM rates of </w:t>
            </w:r>
            <w:r w:rsidR="00F86D56" w:rsidRPr="00761418">
              <w:rPr>
                <w:szCs w:val="24"/>
              </w:rPr>
              <w:t>HCC</w:t>
            </w:r>
            <w:r w:rsidR="00F86D56">
              <w:rPr>
                <w:szCs w:val="24"/>
              </w:rPr>
              <w:t>.</w:t>
            </w:r>
            <w:r w:rsidR="00B650C3" w:rsidRPr="00761418">
              <w:rPr>
                <w:szCs w:val="24"/>
              </w:rPr>
              <w:t>………</w:t>
            </w:r>
          </w:p>
        </w:tc>
        <w:tc>
          <w:tcPr>
            <w:tcW w:w="1170" w:type="dxa"/>
          </w:tcPr>
          <w:p w14:paraId="769CE510" w14:textId="77777777" w:rsidR="00B650C3" w:rsidRPr="00761418" w:rsidRDefault="00B650C3" w:rsidP="00007185">
            <w:pPr>
              <w:jc w:val="center"/>
              <w:rPr>
                <w:szCs w:val="24"/>
              </w:rPr>
            </w:pPr>
            <w:r w:rsidRPr="00761418">
              <w:rPr>
                <w:szCs w:val="24"/>
              </w:rPr>
              <w:t>3</w:t>
            </w:r>
          </w:p>
        </w:tc>
      </w:tr>
      <w:tr w:rsidR="00B650C3" w:rsidRPr="00761418" w14:paraId="6E6D9224" w14:textId="77777777" w:rsidTr="00007185">
        <w:trPr>
          <w:trHeight w:val="467"/>
        </w:trPr>
        <w:tc>
          <w:tcPr>
            <w:tcW w:w="8370" w:type="dxa"/>
          </w:tcPr>
          <w:p w14:paraId="0794C273" w14:textId="77777777" w:rsidR="00B650C3" w:rsidRPr="00761418" w:rsidRDefault="00B650C3" w:rsidP="00007185">
            <w:pPr>
              <w:rPr>
                <w:b/>
                <w:szCs w:val="24"/>
              </w:rPr>
            </w:pPr>
          </w:p>
        </w:tc>
        <w:tc>
          <w:tcPr>
            <w:tcW w:w="1170" w:type="dxa"/>
          </w:tcPr>
          <w:p w14:paraId="70F47D08" w14:textId="77777777" w:rsidR="00B650C3" w:rsidRPr="00761418" w:rsidRDefault="00B650C3" w:rsidP="00007185">
            <w:pPr>
              <w:jc w:val="center"/>
              <w:rPr>
                <w:b/>
                <w:szCs w:val="24"/>
              </w:rPr>
            </w:pPr>
          </w:p>
        </w:tc>
      </w:tr>
      <w:tr w:rsidR="00B650C3" w:rsidRPr="00761418" w14:paraId="16DBDFD3" w14:textId="77777777" w:rsidTr="00007185">
        <w:trPr>
          <w:trHeight w:val="467"/>
        </w:trPr>
        <w:tc>
          <w:tcPr>
            <w:tcW w:w="8370" w:type="dxa"/>
          </w:tcPr>
          <w:p w14:paraId="7C8C6131" w14:textId="0F5C4B01" w:rsidR="00B650C3" w:rsidRPr="00761418" w:rsidRDefault="00761418" w:rsidP="00007185">
            <w:pPr>
              <w:rPr>
                <w:szCs w:val="24"/>
              </w:rPr>
            </w:pPr>
            <w:r>
              <w:rPr>
                <w:b/>
                <w:szCs w:val="24"/>
              </w:rPr>
              <w:t xml:space="preserve">Supplementary </w:t>
            </w:r>
            <w:r w:rsidR="00B650C3" w:rsidRPr="00761418">
              <w:rPr>
                <w:b/>
                <w:szCs w:val="24"/>
              </w:rPr>
              <w:t>Figure 1:</w:t>
            </w:r>
            <w:r w:rsidR="00B650C3" w:rsidRPr="00761418">
              <w:rPr>
                <w:szCs w:val="24"/>
              </w:rPr>
              <w:t xml:space="preserve"> Incidence and IBM rates of HCC according to stage and calendar year of cancer diagnosis………………………………….</w:t>
            </w:r>
          </w:p>
          <w:p w14:paraId="30798738" w14:textId="77777777" w:rsidR="00B650C3" w:rsidRPr="00761418" w:rsidRDefault="00B650C3" w:rsidP="00007185">
            <w:pPr>
              <w:rPr>
                <w:szCs w:val="24"/>
              </w:rPr>
            </w:pPr>
          </w:p>
        </w:tc>
        <w:tc>
          <w:tcPr>
            <w:tcW w:w="1170" w:type="dxa"/>
          </w:tcPr>
          <w:p w14:paraId="414530E8" w14:textId="77777777" w:rsidR="00B650C3" w:rsidRPr="00761418" w:rsidRDefault="00B650C3" w:rsidP="00007185">
            <w:pPr>
              <w:jc w:val="center"/>
              <w:rPr>
                <w:b/>
                <w:szCs w:val="24"/>
              </w:rPr>
            </w:pPr>
          </w:p>
          <w:p w14:paraId="16720BA7" w14:textId="0871EBAE" w:rsidR="00B650C3" w:rsidRPr="00761418" w:rsidRDefault="0097481C" w:rsidP="00007185">
            <w:pPr>
              <w:jc w:val="center"/>
              <w:rPr>
                <w:szCs w:val="24"/>
              </w:rPr>
            </w:pPr>
            <w:r>
              <w:rPr>
                <w:szCs w:val="24"/>
              </w:rPr>
              <w:t>5</w:t>
            </w:r>
          </w:p>
          <w:p w14:paraId="3035B134" w14:textId="77777777" w:rsidR="00B650C3" w:rsidRPr="00761418" w:rsidRDefault="00B650C3" w:rsidP="00007185">
            <w:pPr>
              <w:rPr>
                <w:szCs w:val="24"/>
              </w:rPr>
            </w:pPr>
          </w:p>
        </w:tc>
      </w:tr>
      <w:tr w:rsidR="00B650C3" w:rsidRPr="00761418" w14:paraId="5671461F" w14:textId="77777777" w:rsidTr="00007185">
        <w:trPr>
          <w:trHeight w:val="467"/>
        </w:trPr>
        <w:tc>
          <w:tcPr>
            <w:tcW w:w="8370" w:type="dxa"/>
          </w:tcPr>
          <w:p w14:paraId="3D219C7D" w14:textId="77777777" w:rsidR="00B650C3" w:rsidRPr="00761418" w:rsidRDefault="00B650C3" w:rsidP="00007185">
            <w:pPr>
              <w:rPr>
                <w:b/>
                <w:szCs w:val="24"/>
              </w:rPr>
            </w:pPr>
          </w:p>
        </w:tc>
        <w:tc>
          <w:tcPr>
            <w:tcW w:w="1170" w:type="dxa"/>
          </w:tcPr>
          <w:p w14:paraId="4D7D2E97" w14:textId="77777777" w:rsidR="00B650C3" w:rsidRPr="00761418" w:rsidRDefault="00B650C3" w:rsidP="00007185">
            <w:pPr>
              <w:jc w:val="center"/>
              <w:rPr>
                <w:szCs w:val="24"/>
              </w:rPr>
            </w:pPr>
          </w:p>
        </w:tc>
      </w:tr>
      <w:tr w:rsidR="00B650C3" w:rsidRPr="00761418" w14:paraId="1E65D912" w14:textId="77777777" w:rsidTr="00007185">
        <w:trPr>
          <w:trHeight w:val="467"/>
        </w:trPr>
        <w:tc>
          <w:tcPr>
            <w:tcW w:w="8370" w:type="dxa"/>
          </w:tcPr>
          <w:p w14:paraId="529C0959" w14:textId="77777777" w:rsidR="00B650C3" w:rsidRPr="00761418" w:rsidRDefault="00B650C3" w:rsidP="00007185">
            <w:pPr>
              <w:rPr>
                <w:szCs w:val="24"/>
              </w:rPr>
            </w:pPr>
            <w:r w:rsidRPr="00761418">
              <w:rPr>
                <w:b/>
                <w:szCs w:val="24"/>
              </w:rPr>
              <w:t xml:space="preserve">References </w:t>
            </w:r>
            <w:r w:rsidRPr="00761418">
              <w:rPr>
                <w:szCs w:val="24"/>
              </w:rPr>
              <w:t>…………………………………………………………………………</w:t>
            </w:r>
          </w:p>
        </w:tc>
        <w:tc>
          <w:tcPr>
            <w:tcW w:w="1170" w:type="dxa"/>
          </w:tcPr>
          <w:p w14:paraId="471F7F5C" w14:textId="1BA500E6" w:rsidR="00B650C3" w:rsidRPr="00761418" w:rsidRDefault="001B2888" w:rsidP="00007185">
            <w:pPr>
              <w:jc w:val="center"/>
              <w:rPr>
                <w:szCs w:val="24"/>
              </w:rPr>
            </w:pPr>
            <w:r>
              <w:rPr>
                <w:szCs w:val="24"/>
              </w:rPr>
              <w:t>7</w:t>
            </w:r>
            <w:bookmarkStart w:id="0" w:name="_GoBack"/>
            <w:bookmarkEnd w:id="0"/>
          </w:p>
        </w:tc>
      </w:tr>
    </w:tbl>
    <w:p w14:paraId="4445498D" w14:textId="01AFC902" w:rsidR="00B650C3" w:rsidRPr="00761418" w:rsidRDefault="00B650C3" w:rsidP="00B650C3">
      <w:pPr>
        <w:rPr>
          <w:b/>
          <w:szCs w:val="24"/>
        </w:rPr>
      </w:pPr>
    </w:p>
    <w:p w14:paraId="4FBF1383" w14:textId="705C74DC" w:rsidR="00B650C3" w:rsidRPr="00761418" w:rsidRDefault="00B650C3" w:rsidP="00B650C3">
      <w:pPr>
        <w:rPr>
          <w:b/>
          <w:szCs w:val="24"/>
        </w:rPr>
      </w:pPr>
    </w:p>
    <w:p w14:paraId="25FC1ED3" w14:textId="543744B7" w:rsidR="00B650C3" w:rsidRPr="00761418" w:rsidRDefault="00B650C3" w:rsidP="00B650C3">
      <w:pPr>
        <w:rPr>
          <w:b/>
          <w:szCs w:val="24"/>
        </w:rPr>
      </w:pPr>
    </w:p>
    <w:p w14:paraId="675405EE" w14:textId="1D74796B" w:rsidR="00B650C3" w:rsidRPr="00761418" w:rsidRDefault="00B650C3" w:rsidP="00B650C3">
      <w:pPr>
        <w:rPr>
          <w:b/>
          <w:szCs w:val="24"/>
        </w:rPr>
      </w:pPr>
    </w:p>
    <w:p w14:paraId="1862BE50" w14:textId="1F2BBEA2" w:rsidR="00B650C3" w:rsidRPr="00761418" w:rsidRDefault="00B650C3" w:rsidP="00B650C3">
      <w:pPr>
        <w:rPr>
          <w:b/>
          <w:szCs w:val="24"/>
        </w:rPr>
      </w:pPr>
    </w:p>
    <w:p w14:paraId="6C3D0FD6" w14:textId="7D956D6A" w:rsidR="00B650C3" w:rsidRPr="00761418" w:rsidRDefault="00B650C3" w:rsidP="00B650C3">
      <w:pPr>
        <w:rPr>
          <w:b/>
          <w:szCs w:val="24"/>
        </w:rPr>
      </w:pPr>
    </w:p>
    <w:p w14:paraId="68937244" w14:textId="7B939728" w:rsidR="00B650C3" w:rsidRPr="00761418" w:rsidRDefault="00B650C3" w:rsidP="00B650C3">
      <w:pPr>
        <w:rPr>
          <w:b/>
          <w:szCs w:val="24"/>
        </w:rPr>
      </w:pPr>
    </w:p>
    <w:p w14:paraId="681ACE6B" w14:textId="676DC67F" w:rsidR="00B650C3" w:rsidRPr="00761418" w:rsidRDefault="00B650C3" w:rsidP="00B650C3">
      <w:pPr>
        <w:rPr>
          <w:b/>
          <w:szCs w:val="24"/>
        </w:rPr>
      </w:pPr>
    </w:p>
    <w:p w14:paraId="7964D7FD" w14:textId="2CBF0DA8" w:rsidR="00B650C3" w:rsidRPr="00761418" w:rsidRDefault="00B650C3" w:rsidP="00B650C3">
      <w:pPr>
        <w:rPr>
          <w:b/>
          <w:szCs w:val="24"/>
        </w:rPr>
      </w:pPr>
    </w:p>
    <w:p w14:paraId="387BAC8A" w14:textId="7B97010C" w:rsidR="00B650C3" w:rsidRPr="00761418" w:rsidRDefault="00B650C3" w:rsidP="00B650C3">
      <w:pPr>
        <w:rPr>
          <w:b/>
          <w:szCs w:val="24"/>
        </w:rPr>
      </w:pPr>
    </w:p>
    <w:p w14:paraId="6B101E2C" w14:textId="4A773A4D" w:rsidR="00B650C3" w:rsidRPr="00761418" w:rsidRDefault="00B650C3" w:rsidP="00B650C3">
      <w:pPr>
        <w:rPr>
          <w:b/>
          <w:szCs w:val="24"/>
        </w:rPr>
      </w:pPr>
    </w:p>
    <w:p w14:paraId="5B048638" w14:textId="30F3B6FA" w:rsidR="0093776C" w:rsidRDefault="0093776C" w:rsidP="00B650C3">
      <w:pPr>
        <w:rPr>
          <w:b/>
          <w:szCs w:val="24"/>
        </w:rPr>
      </w:pPr>
    </w:p>
    <w:p w14:paraId="10BF740F" w14:textId="24FFE571" w:rsidR="00F26841" w:rsidRDefault="00F26841" w:rsidP="00B650C3">
      <w:pPr>
        <w:rPr>
          <w:b/>
          <w:szCs w:val="24"/>
        </w:rPr>
      </w:pPr>
    </w:p>
    <w:p w14:paraId="0811DFE5" w14:textId="77777777" w:rsidR="0097481C" w:rsidRPr="00761418" w:rsidRDefault="0097481C" w:rsidP="00B650C3">
      <w:pPr>
        <w:rPr>
          <w:b/>
          <w:szCs w:val="24"/>
        </w:rPr>
      </w:pPr>
    </w:p>
    <w:p w14:paraId="2CD87F81" w14:textId="77777777" w:rsidR="00B650C3" w:rsidRPr="00761418" w:rsidRDefault="00B650C3" w:rsidP="00B650C3">
      <w:pPr>
        <w:rPr>
          <w:b/>
          <w:szCs w:val="24"/>
        </w:rPr>
      </w:pPr>
    </w:p>
    <w:p w14:paraId="73784197" w14:textId="77777777" w:rsidR="005E5FC0" w:rsidRDefault="005E5FC0">
      <w:pPr>
        <w:rPr>
          <w:b/>
          <w:szCs w:val="24"/>
        </w:rPr>
      </w:pPr>
    </w:p>
    <w:p w14:paraId="33A002AC" w14:textId="6B2B340A" w:rsidR="0096605C" w:rsidRPr="00761418" w:rsidRDefault="00761418">
      <w:pPr>
        <w:rPr>
          <w:rFonts w:cs="Arial"/>
          <w:b/>
          <w:szCs w:val="24"/>
        </w:rPr>
      </w:pPr>
      <w:r>
        <w:rPr>
          <w:b/>
          <w:szCs w:val="24"/>
        </w:rPr>
        <w:lastRenderedPageBreak/>
        <w:t xml:space="preserve">Supplementary </w:t>
      </w:r>
      <w:r w:rsidR="0096605C" w:rsidRPr="00761418">
        <w:rPr>
          <w:rFonts w:cs="Arial"/>
          <w:b/>
          <w:szCs w:val="24"/>
        </w:rPr>
        <w:t>Table 1: HCC-specific causes of death based on SEER cause-specific death classification</w:t>
      </w:r>
    </w:p>
    <w:tbl>
      <w:tblPr>
        <w:tblStyle w:val="TableGrid"/>
        <w:tblW w:w="9445" w:type="dxa"/>
        <w:tblLook w:val="04A0" w:firstRow="1" w:lastRow="0" w:firstColumn="1" w:lastColumn="0" w:noHBand="0" w:noVBand="1"/>
      </w:tblPr>
      <w:tblGrid>
        <w:gridCol w:w="1964"/>
        <w:gridCol w:w="1737"/>
        <w:gridCol w:w="2684"/>
        <w:gridCol w:w="3060"/>
      </w:tblGrid>
      <w:tr w:rsidR="00F86D56" w:rsidRPr="00761418" w14:paraId="7DD700F2" w14:textId="77777777" w:rsidTr="00F86D56">
        <w:trPr>
          <w:trHeight w:val="845"/>
        </w:trPr>
        <w:tc>
          <w:tcPr>
            <w:tcW w:w="1964" w:type="dxa"/>
            <w:shd w:val="clear" w:color="auto" w:fill="auto"/>
          </w:tcPr>
          <w:p w14:paraId="020279DB" w14:textId="59C684D4" w:rsidR="00F86D56" w:rsidRPr="00761418" w:rsidRDefault="00F86D56" w:rsidP="0027131D">
            <w:pPr>
              <w:jc w:val="center"/>
              <w:rPr>
                <w:rFonts w:cs="Arial"/>
                <w:b/>
                <w:szCs w:val="24"/>
              </w:rPr>
            </w:pPr>
            <w:r w:rsidRPr="00761418">
              <w:rPr>
                <w:rFonts w:cs="Arial"/>
                <w:b/>
                <w:szCs w:val="24"/>
              </w:rPr>
              <w:t>Sequence number</w:t>
            </w:r>
          </w:p>
        </w:tc>
        <w:tc>
          <w:tcPr>
            <w:tcW w:w="1737" w:type="dxa"/>
            <w:shd w:val="clear" w:color="auto" w:fill="auto"/>
          </w:tcPr>
          <w:p w14:paraId="4C9A2C7B" w14:textId="6C371BA5" w:rsidR="00F86D56" w:rsidRPr="00761418" w:rsidRDefault="00F86D56" w:rsidP="0027131D">
            <w:pPr>
              <w:jc w:val="center"/>
              <w:rPr>
                <w:rFonts w:cs="Arial"/>
                <w:b/>
                <w:szCs w:val="24"/>
              </w:rPr>
            </w:pPr>
            <w:r w:rsidRPr="00761418">
              <w:rPr>
                <w:rFonts w:cs="Arial"/>
                <w:b/>
                <w:szCs w:val="24"/>
              </w:rPr>
              <w:t>ICD classification</w:t>
            </w:r>
          </w:p>
        </w:tc>
        <w:tc>
          <w:tcPr>
            <w:tcW w:w="2684" w:type="dxa"/>
            <w:shd w:val="clear" w:color="auto" w:fill="auto"/>
          </w:tcPr>
          <w:p w14:paraId="340986EC" w14:textId="23F36C9B" w:rsidR="00F86D56" w:rsidRPr="00761418" w:rsidRDefault="00F86D56" w:rsidP="0027131D">
            <w:pPr>
              <w:jc w:val="center"/>
              <w:rPr>
                <w:rFonts w:cs="Arial"/>
                <w:b/>
                <w:szCs w:val="24"/>
              </w:rPr>
            </w:pPr>
            <w:r w:rsidRPr="00761418">
              <w:rPr>
                <w:rFonts w:cs="Arial"/>
                <w:b/>
                <w:szCs w:val="24"/>
              </w:rPr>
              <w:t>Any cancer</w:t>
            </w:r>
          </w:p>
        </w:tc>
        <w:tc>
          <w:tcPr>
            <w:tcW w:w="3060" w:type="dxa"/>
            <w:shd w:val="clear" w:color="auto" w:fill="auto"/>
          </w:tcPr>
          <w:p w14:paraId="01643F24" w14:textId="47A499EE" w:rsidR="00F86D56" w:rsidRPr="00761418" w:rsidRDefault="00F86D56" w:rsidP="0027131D">
            <w:pPr>
              <w:jc w:val="center"/>
              <w:rPr>
                <w:rFonts w:cs="Arial"/>
                <w:b/>
                <w:szCs w:val="24"/>
              </w:rPr>
            </w:pPr>
            <w:r w:rsidRPr="00761418">
              <w:rPr>
                <w:rFonts w:cs="Arial"/>
                <w:b/>
                <w:szCs w:val="24"/>
              </w:rPr>
              <w:t>Site-specific codes</w:t>
            </w:r>
          </w:p>
        </w:tc>
      </w:tr>
      <w:tr w:rsidR="00F86D56" w:rsidRPr="00761418" w14:paraId="1F4E2FF5" w14:textId="77777777" w:rsidTr="00F86D56">
        <w:trPr>
          <w:trHeight w:val="719"/>
        </w:trPr>
        <w:tc>
          <w:tcPr>
            <w:tcW w:w="1964" w:type="dxa"/>
            <w:vMerge w:val="restart"/>
            <w:shd w:val="clear" w:color="auto" w:fill="auto"/>
          </w:tcPr>
          <w:p w14:paraId="3C4C3EF3" w14:textId="1EA259C8" w:rsidR="00F86D56" w:rsidRPr="00761418" w:rsidRDefault="00F86D56" w:rsidP="0027131D">
            <w:pPr>
              <w:jc w:val="center"/>
              <w:rPr>
                <w:rFonts w:cs="Arial"/>
                <w:szCs w:val="24"/>
              </w:rPr>
            </w:pPr>
            <w:r w:rsidRPr="00761418">
              <w:rPr>
                <w:rFonts w:cs="Arial"/>
                <w:szCs w:val="24"/>
              </w:rPr>
              <w:t>00 (If HCC is the only cancer)</w:t>
            </w:r>
          </w:p>
        </w:tc>
        <w:tc>
          <w:tcPr>
            <w:tcW w:w="1737" w:type="dxa"/>
            <w:shd w:val="clear" w:color="auto" w:fill="auto"/>
          </w:tcPr>
          <w:p w14:paraId="6796A4C1" w14:textId="53733938" w:rsidR="00F86D56" w:rsidRPr="00761418" w:rsidRDefault="00F86D56" w:rsidP="0027131D">
            <w:pPr>
              <w:jc w:val="center"/>
              <w:rPr>
                <w:rFonts w:cs="Arial"/>
                <w:szCs w:val="24"/>
              </w:rPr>
            </w:pPr>
            <w:r w:rsidRPr="00761418">
              <w:rPr>
                <w:rFonts w:cs="Arial"/>
                <w:szCs w:val="24"/>
              </w:rPr>
              <w:t>ICD-9</w:t>
            </w:r>
          </w:p>
        </w:tc>
        <w:tc>
          <w:tcPr>
            <w:tcW w:w="2684" w:type="dxa"/>
            <w:shd w:val="clear" w:color="auto" w:fill="auto"/>
          </w:tcPr>
          <w:p w14:paraId="5417B908" w14:textId="3A45C7C3" w:rsidR="00F86D56" w:rsidRPr="00761418" w:rsidRDefault="00F86D56" w:rsidP="0027131D">
            <w:pPr>
              <w:jc w:val="center"/>
              <w:rPr>
                <w:rFonts w:cs="Arial"/>
                <w:szCs w:val="24"/>
              </w:rPr>
            </w:pPr>
            <w:r w:rsidRPr="00761418">
              <w:rPr>
                <w:rFonts w:cs="Arial"/>
                <w:szCs w:val="24"/>
              </w:rPr>
              <w:t>140-239</w:t>
            </w:r>
          </w:p>
        </w:tc>
        <w:tc>
          <w:tcPr>
            <w:tcW w:w="3060" w:type="dxa"/>
            <w:shd w:val="clear" w:color="auto" w:fill="auto"/>
          </w:tcPr>
          <w:p w14:paraId="1866155C" w14:textId="1CF1AA10" w:rsidR="00F86D56" w:rsidRPr="00761418" w:rsidRDefault="00F86D56" w:rsidP="0027131D">
            <w:pPr>
              <w:jc w:val="center"/>
              <w:rPr>
                <w:rFonts w:cs="Arial"/>
                <w:szCs w:val="24"/>
              </w:rPr>
            </w:pPr>
            <w:r w:rsidRPr="00761418">
              <w:rPr>
                <w:rFonts w:cs="Arial"/>
                <w:szCs w:val="24"/>
              </w:rPr>
              <w:t>530-537,556-562, 570-573, 578</w:t>
            </w:r>
          </w:p>
        </w:tc>
      </w:tr>
      <w:tr w:rsidR="00F86D56" w:rsidRPr="00761418" w14:paraId="173B8764" w14:textId="77777777" w:rsidTr="00F86D56">
        <w:trPr>
          <w:trHeight w:val="881"/>
        </w:trPr>
        <w:tc>
          <w:tcPr>
            <w:tcW w:w="1964" w:type="dxa"/>
            <w:vMerge/>
            <w:shd w:val="clear" w:color="auto" w:fill="auto"/>
          </w:tcPr>
          <w:p w14:paraId="15929310" w14:textId="77777777" w:rsidR="00F86D56" w:rsidRPr="00761418" w:rsidRDefault="00F86D56" w:rsidP="0027131D">
            <w:pPr>
              <w:jc w:val="center"/>
              <w:rPr>
                <w:rFonts w:cs="Arial"/>
                <w:szCs w:val="24"/>
              </w:rPr>
            </w:pPr>
          </w:p>
        </w:tc>
        <w:tc>
          <w:tcPr>
            <w:tcW w:w="1737" w:type="dxa"/>
            <w:shd w:val="clear" w:color="auto" w:fill="auto"/>
          </w:tcPr>
          <w:p w14:paraId="153E9415" w14:textId="1415E667" w:rsidR="00F86D56" w:rsidRPr="00761418" w:rsidRDefault="00F86D56" w:rsidP="0027131D">
            <w:pPr>
              <w:jc w:val="center"/>
              <w:rPr>
                <w:rFonts w:cs="Arial"/>
                <w:szCs w:val="24"/>
              </w:rPr>
            </w:pPr>
            <w:r w:rsidRPr="00761418">
              <w:rPr>
                <w:rFonts w:cs="Arial"/>
                <w:szCs w:val="24"/>
              </w:rPr>
              <w:t>ICD-10</w:t>
            </w:r>
          </w:p>
        </w:tc>
        <w:tc>
          <w:tcPr>
            <w:tcW w:w="2684" w:type="dxa"/>
            <w:shd w:val="clear" w:color="auto" w:fill="auto"/>
          </w:tcPr>
          <w:p w14:paraId="3320841C" w14:textId="39B45D8F" w:rsidR="00F86D56" w:rsidRPr="00761418" w:rsidRDefault="00F86D56" w:rsidP="0027131D">
            <w:pPr>
              <w:jc w:val="center"/>
              <w:rPr>
                <w:rFonts w:cs="Arial"/>
                <w:szCs w:val="24"/>
              </w:rPr>
            </w:pPr>
            <w:r w:rsidRPr="00761418">
              <w:rPr>
                <w:rFonts w:cs="Arial"/>
                <w:szCs w:val="24"/>
              </w:rPr>
              <w:t>C00-D489</w:t>
            </w:r>
          </w:p>
        </w:tc>
        <w:tc>
          <w:tcPr>
            <w:tcW w:w="3060" w:type="dxa"/>
            <w:shd w:val="clear" w:color="auto" w:fill="auto"/>
          </w:tcPr>
          <w:p w14:paraId="1A4D0167" w14:textId="1D763EF4" w:rsidR="00F86D56" w:rsidRPr="00761418" w:rsidRDefault="00F86D56" w:rsidP="0027131D">
            <w:pPr>
              <w:jc w:val="center"/>
              <w:rPr>
                <w:rFonts w:cs="Arial"/>
                <w:szCs w:val="24"/>
              </w:rPr>
            </w:pPr>
            <w:r w:rsidRPr="00761418">
              <w:rPr>
                <w:rFonts w:cs="Arial"/>
                <w:szCs w:val="24"/>
              </w:rPr>
              <w:t>K20-K31, K51-K57, K70-K76, K92</w:t>
            </w:r>
          </w:p>
        </w:tc>
      </w:tr>
      <w:tr w:rsidR="00F86D56" w:rsidRPr="00761418" w14:paraId="2D994EE4" w14:textId="77777777" w:rsidTr="00F86D56">
        <w:trPr>
          <w:trHeight w:val="1619"/>
        </w:trPr>
        <w:tc>
          <w:tcPr>
            <w:tcW w:w="1964" w:type="dxa"/>
            <w:vMerge w:val="restart"/>
            <w:shd w:val="clear" w:color="auto" w:fill="auto"/>
          </w:tcPr>
          <w:p w14:paraId="1C8FC27C" w14:textId="12738037" w:rsidR="00F86D56" w:rsidRPr="00761418" w:rsidRDefault="00F86D56" w:rsidP="0027131D">
            <w:pPr>
              <w:jc w:val="center"/>
              <w:rPr>
                <w:rFonts w:cs="Arial"/>
                <w:szCs w:val="24"/>
              </w:rPr>
            </w:pPr>
            <w:r w:rsidRPr="00761418">
              <w:rPr>
                <w:rFonts w:cs="Arial"/>
                <w:szCs w:val="24"/>
              </w:rPr>
              <w:t>01 (If HCC is the first of multiple cancers)</w:t>
            </w:r>
          </w:p>
        </w:tc>
        <w:tc>
          <w:tcPr>
            <w:tcW w:w="1737" w:type="dxa"/>
            <w:shd w:val="clear" w:color="auto" w:fill="auto"/>
          </w:tcPr>
          <w:p w14:paraId="192C7270" w14:textId="6FECEFA7" w:rsidR="00F86D56" w:rsidRPr="00761418" w:rsidRDefault="00F86D56" w:rsidP="0027131D">
            <w:pPr>
              <w:jc w:val="center"/>
              <w:rPr>
                <w:rFonts w:cs="Arial"/>
                <w:szCs w:val="24"/>
              </w:rPr>
            </w:pPr>
            <w:r w:rsidRPr="00761418">
              <w:rPr>
                <w:rFonts w:cs="Arial"/>
                <w:szCs w:val="24"/>
              </w:rPr>
              <w:t>ICD-9</w:t>
            </w:r>
          </w:p>
        </w:tc>
        <w:tc>
          <w:tcPr>
            <w:tcW w:w="2684" w:type="dxa"/>
            <w:shd w:val="clear" w:color="auto" w:fill="auto"/>
          </w:tcPr>
          <w:p w14:paraId="5224BF13" w14:textId="1F2E35EF" w:rsidR="00F86D56" w:rsidRPr="00761418" w:rsidRDefault="00F86D56" w:rsidP="0027131D">
            <w:pPr>
              <w:jc w:val="center"/>
              <w:rPr>
                <w:rFonts w:cs="Arial"/>
                <w:szCs w:val="24"/>
              </w:rPr>
            </w:pPr>
            <w:r w:rsidRPr="00761418">
              <w:rPr>
                <w:rFonts w:cs="Arial"/>
                <w:szCs w:val="24"/>
              </w:rPr>
              <w:t>199</w:t>
            </w:r>
          </w:p>
        </w:tc>
        <w:tc>
          <w:tcPr>
            <w:tcW w:w="3060" w:type="dxa"/>
            <w:shd w:val="clear" w:color="auto" w:fill="auto"/>
          </w:tcPr>
          <w:p w14:paraId="67A12F1D" w14:textId="0DC8C32D" w:rsidR="00F86D56" w:rsidRPr="00761418" w:rsidRDefault="00F86D56" w:rsidP="0027131D">
            <w:pPr>
              <w:jc w:val="center"/>
              <w:rPr>
                <w:rFonts w:cs="Arial"/>
                <w:szCs w:val="24"/>
              </w:rPr>
            </w:pPr>
            <w:r w:rsidRPr="00761418">
              <w:rPr>
                <w:rFonts w:cs="Arial"/>
                <w:szCs w:val="24"/>
              </w:rPr>
              <w:t>155, 159, 197.7, 211.5, 230.8, 235.2-235.5, 530-537, 556-562, 570-573, 578</w:t>
            </w:r>
          </w:p>
        </w:tc>
      </w:tr>
      <w:tr w:rsidR="00F86D56" w:rsidRPr="00761418" w14:paraId="2050A4EE" w14:textId="77777777" w:rsidTr="00F86D56">
        <w:trPr>
          <w:trHeight w:val="1601"/>
        </w:trPr>
        <w:tc>
          <w:tcPr>
            <w:tcW w:w="1964" w:type="dxa"/>
            <w:vMerge/>
            <w:shd w:val="clear" w:color="auto" w:fill="auto"/>
          </w:tcPr>
          <w:p w14:paraId="152EE000" w14:textId="77777777" w:rsidR="00F86D56" w:rsidRPr="00761418" w:rsidRDefault="00F86D56" w:rsidP="0027131D">
            <w:pPr>
              <w:jc w:val="center"/>
              <w:rPr>
                <w:rFonts w:cs="Arial"/>
                <w:szCs w:val="24"/>
              </w:rPr>
            </w:pPr>
          </w:p>
        </w:tc>
        <w:tc>
          <w:tcPr>
            <w:tcW w:w="1737" w:type="dxa"/>
            <w:shd w:val="clear" w:color="auto" w:fill="auto"/>
          </w:tcPr>
          <w:p w14:paraId="7931F48E" w14:textId="6FB2DDFD" w:rsidR="00F86D56" w:rsidRPr="00761418" w:rsidRDefault="00F86D56" w:rsidP="0027131D">
            <w:pPr>
              <w:jc w:val="center"/>
              <w:rPr>
                <w:rFonts w:cs="Arial"/>
                <w:szCs w:val="24"/>
              </w:rPr>
            </w:pPr>
            <w:r w:rsidRPr="00761418">
              <w:rPr>
                <w:rFonts w:cs="Arial"/>
                <w:szCs w:val="24"/>
              </w:rPr>
              <w:t>ICD-10</w:t>
            </w:r>
          </w:p>
        </w:tc>
        <w:tc>
          <w:tcPr>
            <w:tcW w:w="2684" w:type="dxa"/>
            <w:shd w:val="clear" w:color="auto" w:fill="auto"/>
          </w:tcPr>
          <w:p w14:paraId="4254223D" w14:textId="132AD38C" w:rsidR="00F86D56" w:rsidRPr="00761418" w:rsidRDefault="00F86D56" w:rsidP="0027131D">
            <w:pPr>
              <w:jc w:val="center"/>
              <w:rPr>
                <w:rFonts w:cs="Arial"/>
                <w:szCs w:val="24"/>
              </w:rPr>
            </w:pPr>
            <w:r w:rsidRPr="00761418">
              <w:rPr>
                <w:rFonts w:cs="Arial"/>
                <w:szCs w:val="24"/>
              </w:rPr>
              <w:t>C798, C80, C97, D489</w:t>
            </w:r>
          </w:p>
        </w:tc>
        <w:tc>
          <w:tcPr>
            <w:tcW w:w="3060" w:type="dxa"/>
            <w:shd w:val="clear" w:color="auto" w:fill="auto"/>
          </w:tcPr>
          <w:p w14:paraId="426E6620" w14:textId="778E89D1" w:rsidR="00F86D56" w:rsidRPr="00761418" w:rsidRDefault="00F86D56" w:rsidP="0027131D">
            <w:pPr>
              <w:jc w:val="center"/>
              <w:rPr>
                <w:rFonts w:cs="Arial"/>
                <w:szCs w:val="24"/>
              </w:rPr>
            </w:pPr>
            <w:r w:rsidRPr="00761418">
              <w:rPr>
                <w:rFonts w:cs="Arial"/>
                <w:szCs w:val="24"/>
              </w:rPr>
              <w:t>C22, C26, C787, D015, D134, D371-D379, K20-K31, K51-K57, K70-K76, K92</w:t>
            </w:r>
          </w:p>
        </w:tc>
      </w:tr>
    </w:tbl>
    <w:p w14:paraId="4F8C18AD" w14:textId="77777777" w:rsidR="002F710F" w:rsidRPr="00761418" w:rsidRDefault="002F710F" w:rsidP="00513263">
      <w:pPr>
        <w:rPr>
          <w:rFonts w:cs="Arial"/>
          <w:b/>
          <w:szCs w:val="24"/>
        </w:rPr>
      </w:pPr>
    </w:p>
    <w:p w14:paraId="054BC98A" w14:textId="74D2A18A" w:rsidR="000837CF" w:rsidRPr="00761418" w:rsidRDefault="0027131D" w:rsidP="00513263">
      <w:pPr>
        <w:rPr>
          <w:rFonts w:cs="Arial"/>
          <w:b/>
          <w:szCs w:val="24"/>
        </w:rPr>
        <w:sectPr w:rsidR="000837CF" w:rsidRPr="00761418" w:rsidSect="000837CF">
          <w:footerReference w:type="default" r:id="rId7"/>
          <w:pgSz w:w="12240" w:h="15840"/>
          <w:pgMar w:top="1440" w:right="1440" w:bottom="1440" w:left="1440" w:header="720" w:footer="720" w:gutter="0"/>
          <w:cols w:space="720"/>
          <w:docGrid w:linePitch="360"/>
        </w:sectPr>
      </w:pPr>
      <w:r w:rsidRPr="00761418">
        <w:rPr>
          <w:rFonts w:cs="Arial"/>
          <w:b/>
          <w:szCs w:val="24"/>
        </w:rPr>
        <w:t>Abbreviations</w:t>
      </w:r>
      <w:r w:rsidRPr="00761418">
        <w:rPr>
          <w:rFonts w:cs="Arial"/>
          <w:szCs w:val="24"/>
        </w:rPr>
        <w:t xml:space="preserve">: AIDS, </w:t>
      </w:r>
      <w:r w:rsidR="00B202DA" w:rsidRPr="00761418">
        <w:rPr>
          <w:rFonts w:cs="Arial"/>
          <w:szCs w:val="24"/>
        </w:rPr>
        <w:t>a</w:t>
      </w:r>
      <w:r w:rsidRPr="00761418">
        <w:rPr>
          <w:rFonts w:cs="Arial"/>
          <w:szCs w:val="24"/>
        </w:rPr>
        <w:t xml:space="preserve">cquired </w:t>
      </w:r>
      <w:r w:rsidR="00B202DA" w:rsidRPr="00761418">
        <w:rPr>
          <w:rFonts w:cs="Arial"/>
          <w:szCs w:val="24"/>
        </w:rPr>
        <w:t>i</w:t>
      </w:r>
      <w:r w:rsidRPr="00761418">
        <w:rPr>
          <w:rFonts w:cs="Arial"/>
          <w:szCs w:val="24"/>
        </w:rPr>
        <w:t xml:space="preserve">mmunodeficiency </w:t>
      </w:r>
      <w:r w:rsidR="00B202DA" w:rsidRPr="00761418">
        <w:rPr>
          <w:rFonts w:cs="Arial"/>
          <w:szCs w:val="24"/>
        </w:rPr>
        <w:t>s</w:t>
      </w:r>
      <w:r w:rsidRPr="00761418">
        <w:rPr>
          <w:rFonts w:cs="Arial"/>
          <w:szCs w:val="24"/>
        </w:rPr>
        <w:t>yndrome; HCC, hepatocellular carcinoma; HIV, human immunodeficiency virus; ICD, International Classification of Diseases; SEER, Surveillance, Epidemiology, and End Results</w:t>
      </w:r>
    </w:p>
    <w:tbl>
      <w:tblPr>
        <w:tblpPr w:leftFromText="180" w:rightFromText="180" w:vertAnchor="page" w:horzAnchor="margin" w:tblpY="1321"/>
        <w:tblW w:w="12870" w:type="dxa"/>
        <w:tblLayout w:type="fixed"/>
        <w:tblLook w:val="04A0" w:firstRow="1" w:lastRow="0" w:firstColumn="1" w:lastColumn="0" w:noHBand="0" w:noVBand="1"/>
      </w:tblPr>
      <w:tblGrid>
        <w:gridCol w:w="2145"/>
        <w:gridCol w:w="2145"/>
        <w:gridCol w:w="2145"/>
        <w:gridCol w:w="2145"/>
        <w:gridCol w:w="2145"/>
        <w:gridCol w:w="2145"/>
      </w:tblGrid>
      <w:tr w:rsidR="00CE46E9" w:rsidRPr="00761418" w14:paraId="46BEDC28" w14:textId="77777777" w:rsidTr="002F710F">
        <w:trPr>
          <w:trHeight w:val="288"/>
        </w:trPr>
        <w:tc>
          <w:tcPr>
            <w:tcW w:w="12870" w:type="dxa"/>
            <w:gridSpan w:val="6"/>
            <w:tcBorders>
              <w:bottom w:val="single" w:sz="4" w:space="0" w:color="auto"/>
            </w:tcBorders>
            <w:shd w:val="clear" w:color="auto" w:fill="auto"/>
            <w:noWrap/>
            <w:vAlign w:val="center"/>
          </w:tcPr>
          <w:p w14:paraId="739948D5" w14:textId="01DD7F83" w:rsidR="00CE46E9" w:rsidRPr="00761418" w:rsidRDefault="00761418" w:rsidP="00917F2D">
            <w:pPr>
              <w:spacing w:after="0" w:line="240" w:lineRule="auto"/>
              <w:rPr>
                <w:rFonts w:eastAsia="Times New Roman" w:cs="Arial"/>
                <w:b/>
                <w:color w:val="000000"/>
                <w:szCs w:val="24"/>
              </w:rPr>
            </w:pPr>
            <w:r>
              <w:rPr>
                <w:b/>
                <w:szCs w:val="24"/>
              </w:rPr>
              <w:lastRenderedPageBreak/>
              <w:t xml:space="preserve">Supplementary </w:t>
            </w:r>
            <w:r w:rsidR="00CE46E9" w:rsidRPr="00761418">
              <w:rPr>
                <w:rFonts w:eastAsia="Times New Roman" w:cs="Arial"/>
                <w:b/>
                <w:color w:val="000000"/>
                <w:szCs w:val="24"/>
              </w:rPr>
              <w:t xml:space="preserve">Table 2: Trends in incidence and IBM rates of HCC, </w:t>
            </w:r>
            <w:r w:rsidR="00C150B3" w:rsidRPr="00761418">
              <w:rPr>
                <w:rFonts w:eastAsia="Times New Roman" w:cs="Arial"/>
                <w:b/>
                <w:color w:val="000000"/>
                <w:szCs w:val="24"/>
              </w:rPr>
              <w:t>transplant rate, rate of excess deaths averted, and HCC-specific mortality rate.</w:t>
            </w:r>
          </w:p>
          <w:p w14:paraId="5A8BF83B" w14:textId="77777777" w:rsidR="00CE46E9" w:rsidRPr="00761418" w:rsidRDefault="00CE46E9" w:rsidP="00917F2D">
            <w:pPr>
              <w:spacing w:after="0" w:line="240" w:lineRule="auto"/>
              <w:rPr>
                <w:rFonts w:eastAsia="Times New Roman" w:cs="Arial"/>
                <w:b/>
                <w:color w:val="000000"/>
                <w:szCs w:val="24"/>
              </w:rPr>
            </w:pPr>
          </w:p>
        </w:tc>
      </w:tr>
      <w:tr w:rsidR="00CE46E9" w:rsidRPr="00761418" w14:paraId="442182C5" w14:textId="77777777" w:rsidTr="002F710F">
        <w:trPr>
          <w:trHeight w:val="288"/>
        </w:trPr>
        <w:tc>
          <w:tcPr>
            <w:tcW w:w="2145" w:type="dxa"/>
            <w:tcBorders>
              <w:top w:val="single" w:sz="4" w:space="0" w:color="auto"/>
              <w:left w:val="single" w:sz="4" w:space="0" w:color="auto"/>
              <w:bottom w:val="nil"/>
              <w:right w:val="single" w:sz="4" w:space="0" w:color="auto"/>
            </w:tcBorders>
            <w:shd w:val="clear" w:color="auto" w:fill="auto"/>
            <w:noWrap/>
            <w:vAlign w:val="center"/>
            <w:hideMark/>
          </w:tcPr>
          <w:p w14:paraId="2310B383" w14:textId="7F086390" w:rsidR="00CE46E9" w:rsidRPr="00761418" w:rsidRDefault="002F710F" w:rsidP="00917F2D">
            <w:pPr>
              <w:spacing w:after="0" w:line="240" w:lineRule="auto"/>
              <w:rPr>
                <w:rFonts w:eastAsia="Times New Roman" w:cs="Arial"/>
                <w:b/>
                <w:color w:val="000000"/>
                <w:szCs w:val="24"/>
              </w:rPr>
            </w:pPr>
            <w:r w:rsidRPr="00761418">
              <w:rPr>
                <w:rFonts w:eastAsia="Times New Roman" w:cs="Arial"/>
                <w:b/>
                <w:color w:val="000000"/>
                <w:szCs w:val="24"/>
              </w:rPr>
              <w:t>Rates</w:t>
            </w:r>
          </w:p>
        </w:tc>
        <w:tc>
          <w:tcPr>
            <w:tcW w:w="2145" w:type="dxa"/>
            <w:tcBorders>
              <w:top w:val="single" w:sz="4" w:space="0" w:color="auto"/>
              <w:left w:val="nil"/>
              <w:bottom w:val="single" w:sz="4" w:space="0" w:color="auto"/>
              <w:right w:val="nil"/>
            </w:tcBorders>
            <w:shd w:val="clear" w:color="auto" w:fill="auto"/>
            <w:noWrap/>
            <w:vAlign w:val="center"/>
            <w:hideMark/>
          </w:tcPr>
          <w:p w14:paraId="52C37F48" w14:textId="77777777" w:rsidR="00CE46E9" w:rsidRPr="00761418" w:rsidRDefault="00CE46E9" w:rsidP="00917F2D">
            <w:pPr>
              <w:spacing w:after="0" w:line="240" w:lineRule="auto"/>
              <w:jc w:val="center"/>
              <w:rPr>
                <w:rFonts w:eastAsia="Times New Roman" w:cs="Arial"/>
                <w:b/>
                <w:color w:val="000000"/>
                <w:szCs w:val="24"/>
              </w:rPr>
            </w:pPr>
            <w:r w:rsidRPr="00761418">
              <w:rPr>
                <w:rFonts w:eastAsia="Times New Roman" w:cs="Arial"/>
                <w:b/>
                <w:color w:val="000000"/>
                <w:szCs w:val="24"/>
              </w:rPr>
              <w:t>Trend 1</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6CD11" w14:textId="77777777" w:rsidR="00CE46E9" w:rsidRPr="00761418" w:rsidRDefault="00CE46E9" w:rsidP="00917F2D">
            <w:pPr>
              <w:spacing w:after="0" w:line="240" w:lineRule="auto"/>
              <w:jc w:val="center"/>
              <w:rPr>
                <w:rFonts w:eastAsia="Times New Roman" w:cs="Arial"/>
                <w:b/>
                <w:color w:val="000000"/>
                <w:szCs w:val="24"/>
              </w:rPr>
            </w:pPr>
            <w:r w:rsidRPr="00761418">
              <w:rPr>
                <w:rFonts w:eastAsia="Times New Roman" w:cs="Arial"/>
                <w:b/>
                <w:color w:val="000000"/>
                <w:szCs w:val="24"/>
              </w:rPr>
              <w:t>Trend 2</w:t>
            </w:r>
          </w:p>
        </w:tc>
        <w:tc>
          <w:tcPr>
            <w:tcW w:w="2145" w:type="dxa"/>
            <w:tcBorders>
              <w:top w:val="single" w:sz="4" w:space="0" w:color="auto"/>
              <w:left w:val="single" w:sz="4" w:space="0" w:color="auto"/>
              <w:bottom w:val="single" w:sz="4" w:space="0" w:color="auto"/>
              <w:right w:val="nil"/>
            </w:tcBorders>
            <w:shd w:val="clear" w:color="auto" w:fill="auto"/>
            <w:noWrap/>
            <w:vAlign w:val="center"/>
            <w:hideMark/>
          </w:tcPr>
          <w:p w14:paraId="0725CBD6" w14:textId="77777777" w:rsidR="00CE46E9" w:rsidRPr="00761418" w:rsidRDefault="00CE46E9" w:rsidP="00917F2D">
            <w:pPr>
              <w:spacing w:after="0" w:line="240" w:lineRule="auto"/>
              <w:jc w:val="center"/>
              <w:rPr>
                <w:rFonts w:eastAsia="Times New Roman" w:cs="Arial"/>
                <w:b/>
                <w:color w:val="000000"/>
                <w:szCs w:val="24"/>
              </w:rPr>
            </w:pPr>
            <w:r w:rsidRPr="00761418">
              <w:rPr>
                <w:rFonts w:eastAsia="Times New Roman" w:cs="Arial"/>
                <w:b/>
                <w:color w:val="000000"/>
                <w:szCs w:val="24"/>
              </w:rPr>
              <w:t>Trend 3</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98F3B" w14:textId="77777777" w:rsidR="00CE46E9" w:rsidRPr="00761418" w:rsidRDefault="00CE46E9" w:rsidP="00917F2D">
            <w:pPr>
              <w:spacing w:after="0" w:line="240" w:lineRule="auto"/>
              <w:jc w:val="center"/>
              <w:rPr>
                <w:rFonts w:eastAsia="Times New Roman" w:cs="Arial"/>
                <w:b/>
                <w:color w:val="000000"/>
                <w:szCs w:val="24"/>
              </w:rPr>
            </w:pPr>
            <w:r w:rsidRPr="00761418">
              <w:rPr>
                <w:rFonts w:eastAsia="Times New Roman" w:cs="Arial"/>
                <w:b/>
                <w:color w:val="000000"/>
                <w:szCs w:val="24"/>
              </w:rPr>
              <w:t>Trend 4</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8B702" w14:textId="77777777" w:rsidR="00CE46E9" w:rsidRPr="00761418" w:rsidRDefault="00CE46E9" w:rsidP="00917F2D">
            <w:pPr>
              <w:spacing w:after="0" w:line="240" w:lineRule="auto"/>
              <w:jc w:val="center"/>
              <w:rPr>
                <w:rFonts w:eastAsia="Times New Roman" w:cs="Arial"/>
                <w:b/>
                <w:color w:val="000000"/>
                <w:szCs w:val="24"/>
              </w:rPr>
            </w:pPr>
            <w:r w:rsidRPr="00761418">
              <w:rPr>
                <w:rFonts w:eastAsia="Times New Roman" w:cs="Arial"/>
                <w:b/>
                <w:color w:val="000000"/>
                <w:szCs w:val="24"/>
              </w:rPr>
              <w:t>Overall trend</w:t>
            </w:r>
          </w:p>
        </w:tc>
      </w:tr>
      <w:tr w:rsidR="00CE46E9" w:rsidRPr="00761418" w14:paraId="542FDE1B" w14:textId="77777777" w:rsidTr="002F710F">
        <w:trPr>
          <w:trHeight w:val="353"/>
        </w:trPr>
        <w:tc>
          <w:tcPr>
            <w:tcW w:w="2145" w:type="dxa"/>
            <w:tcBorders>
              <w:top w:val="nil"/>
              <w:left w:val="single" w:sz="4" w:space="0" w:color="auto"/>
              <w:bottom w:val="single" w:sz="4" w:space="0" w:color="auto"/>
              <w:right w:val="single" w:sz="4" w:space="0" w:color="auto"/>
            </w:tcBorders>
            <w:shd w:val="clear" w:color="auto" w:fill="auto"/>
            <w:noWrap/>
            <w:vAlign w:val="center"/>
            <w:hideMark/>
          </w:tcPr>
          <w:p w14:paraId="54A29E80" w14:textId="77777777" w:rsidR="00CE46E9" w:rsidRPr="00761418" w:rsidRDefault="00CE46E9" w:rsidP="00917F2D">
            <w:pPr>
              <w:spacing w:after="0" w:line="240" w:lineRule="auto"/>
              <w:rPr>
                <w:rFonts w:eastAsia="Times New Roman" w:cs="Arial"/>
                <w:b/>
                <w:color w:val="000000"/>
                <w:szCs w:val="24"/>
              </w:rPr>
            </w:pPr>
          </w:p>
        </w:tc>
        <w:tc>
          <w:tcPr>
            <w:tcW w:w="2145" w:type="dxa"/>
            <w:tcBorders>
              <w:top w:val="nil"/>
              <w:left w:val="nil"/>
              <w:bottom w:val="single" w:sz="4" w:space="0" w:color="auto"/>
              <w:right w:val="nil"/>
            </w:tcBorders>
            <w:shd w:val="clear" w:color="auto" w:fill="auto"/>
            <w:noWrap/>
            <w:vAlign w:val="center"/>
            <w:hideMark/>
          </w:tcPr>
          <w:p w14:paraId="7DA773A8" w14:textId="77777777" w:rsidR="00CE46E9" w:rsidRPr="00761418" w:rsidRDefault="00CE46E9" w:rsidP="00917F2D">
            <w:pPr>
              <w:spacing w:after="0" w:line="240" w:lineRule="auto"/>
              <w:jc w:val="center"/>
              <w:rPr>
                <w:rFonts w:eastAsia="Times New Roman" w:cs="Arial"/>
                <w:b/>
                <w:color w:val="000000"/>
                <w:szCs w:val="24"/>
              </w:rPr>
            </w:pPr>
            <w:r w:rsidRPr="00761418">
              <w:rPr>
                <w:rFonts w:eastAsia="Times New Roman" w:cs="Arial"/>
                <w:b/>
                <w:color w:val="000000"/>
                <w:szCs w:val="24"/>
              </w:rPr>
              <w:t>APC (95% CI)</w:t>
            </w:r>
          </w:p>
        </w:tc>
        <w:tc>
          <w:tcPr>
            <w:tcW w:w="2145" w:type="dxa"/>
            <w:tcBorders>
              <w:top w:val="nil"/>
              <w:left w:val="single" w:sz="4" w:space="0" w:color="auto"/>
              <w:bottom w:val="single" w:sz="4" w:space="0" w:color="auto"/>
              <w:right w:val="single" w:sz="4" w:space="0" w:color="auto"/>
            </w:tcBorders>
            <w:shd w:val="clear" w:color="auto" w:fill="auto"/>
            <w:noWrap/>
            <w:vAlign w:val="center"/>
            <w:hideMark/>
          </w:tcPr>
          <w:p w14:paraId="1C0CE819" w14:textId="77777777" w:rsidR="00CE46E9" w:rsidRPr="00761418" w:rsidRDefault="00CE46E9" w:rsidP="00917F2D">
            <w:pPr>
              <w:spacing w:after="0" w:line="240" w:lineRule="auto"/>
              <w:jc w:val="center"/>
              <w:rPr>
                <w:rFonts w:eastAsia="Times New Roman" w:cs="Arial"/>
                <w:b/>
                <w:color w:val="000000"/>
                <w:szCs w:val="24"/>
              </w:rPr>
            </w:pPr>
            <w:r w:rsidRPr="00761418">
              <w:rPr>
                <w:rFonts w:eastAsia="Times New Roman" w:cs="Arial"/>
                <w:b/>
                <w:color w:val="000000"/>
                <w:szCs w:val="24"/>
              </w:rPr>
              <w:t>APC (95% CI)</w:t>
            </w:r>
          </w:p>
        </w:tc>
        <w:tc>
          <w:tcPr>
            <w:tcW w:w="2145" w:type="dxa"/>
            <w:tcBorders>
              <w:top w:val="nil"/>
              <w:left w:val="single" w:sz="4" w:space="0" w:color="auto"/>
              <w:bottom w:val="single" w:sz="4" w:space="0" w:color="auto"/>
              <w:right w:val="nil"/>
            </w:tcBorders>
            <w:shd w:val="clear" w:color="auto" w:fill="auto"/>
            <w:noWrap/>
            <w:vAlign w:val="center"/>
            <w:hideMark/>
          </w:tcPr>
          <w:p w14:paraId="3630C87F" w14:textId="77777777" w:rsidR="00CE46E9" w:rsidRPr="00761418" w:rsidRDefault="00CE46E9" w:rsidP="00917F2D">
            <w:pPr>
              <w:spacing w:after="0" w:line="240" w:lineRule="auto"/>
              <w:jc w:val="center"/>
              <w:rPr>
                <w:rFonts w:eastAsia="Times New Roman" w:cs="Arial"/>
                <w:b/>
                <w:color w:val="000000"/>
                <w:szCs w:val="24"/>
              </w:rPr>
            </w:pPr>
            <w:r w:rsidRPr="00761418">
              <w:rPr>
                <w:rFonts w:eastAsia="Times New Roman" w:cs="Arial"/>
                <w:b/>
                <w:color w:val="000000"/>
                <w:szCs w:val="24"/>
              </w:rPr>
              <w:t>APC (95% CI)</w:t>
            </w:r>
          </w:p>
        </w:tc>
        <w:tc>
          <w:tcPr>
            <w:tcW w:w="2145" w:type="dxa"/>
            <w:tcBorders>
              <w:top w:val="nil"/>
              <w:left w:val="single" w:sz="4" w:space="0" w:color="auto"/>
              <w:bottom w:val="single" w:sz="4" w:space="0" w:color="auto"/>
              <w:right w:val="single" w:sz="4" w:space="0" w:color="auto"/>
            </w:tcBorders>
            <w:shd w:val="clear" w:color="auto" w:fill="auto"/>
            <w:noWrap/>
            <w:vAlign w:val="center"/>
            <w:hideMark/>
          </w:tcPr>
          <w:p w14:paraId="08887992" w14:textId="77777777" w:rsidR="00CE46E9" w:rsidRPr="00761418" w:rsidRDefault="00CE46E9" w:rsidP="00917F2D">
            <w:pPr>
              <w:spacing w:after="0" w:line="240" w:lineRule="auto"/>
              <w:jc w:val="center"/>
              <w:rPr>
                <w:rFonts w:eastAsia="Times New Roman" w:cs="Arial"/>
                <w:b/>
                <w:color w:val="000000"/>
                <w:szCs w:val="24"/>
              </w:rPr>
            </w:pPr>
            <w:r w:rsidRPr="00761418">
              <w:rPr>
                <w:rFonts w:eastAsia="Times New Roman" w:cs="Arial"/>
                <w:b/>
                <w:color w:val="000000"/>
                <w:szCs w:val="24"/>
              </w:rPr>
              <w:t>APC (95% CI)</w:t>
            </w:r>
          </w:p>
        </w:tc>
        <w:tc>
          <w:tcPr>
            <w:tcW w:w="2145" w:type="dxa"/>
            <w:tcBorders>
              <w:top w:val="nil"/>
              <w:left w:val="single" w:sz="4" w:space="0" w:color="auto"/>
              <w:bottom w:val="single" w:sz="4" w:space="0" w:color="auto"/>
              <w:right w:val="single" w:sz="4" w:space="0" w:color="auto"/>
            </w:tcBorders>
            <w:shd w:val="clear" w:color="auto" w:fill="auto"/>
            <w:noWrap/>
            <w:vAlign w:val="center"/>
            <w:hideMark/>
          </w:tcPr>
          <w:p w14:paraId="76AC89D0" w14:textId="77777777" w:rsidR="00CE46E9" w:rsidRPr="00761418" w:rsidRDefault="00CE46E9" w:rsidP="00917F2D">
            <w:pPr>
              <w:spacing w:after="0" w:line="240" w:lineRule="auto"/>
              <w:jc w:val="center"/>
              <w:rPr>
                <w:rFonts w:eastAsia="Times New Roman" w:cs="Arial"/>
                <w:b/>
                <w:color w:val="000000"/>
                <w:szCs w:val="24"/>
              </w:rPr>
            </w:pPr>
            <w:r w:rsidRPr="00761418">
              <w:rPr>
                <w:rFonts w:eastAsia="Times New Roman" w:cs="Arial"/>
                <w:b/>
                <w:color w:val="000000"/>
                <w:szCs w:val="24"/>
              </w:rPr>
              <w:t>AAPC (95% CI)</w:t>
            </w:r>
          </w:p>
        </w:tc>
      </w:tr>
      <w:tr w:rsidR="00CE46E9" w:rsidRPr="00761418" w14:paraId="4715B7F1" w14:textId="77777777" w:rsidTr="002F710F">
        <w:trPr>
          <w:trHeight w:val="326"/>
        </w:trPr>
        <w:tc>
          <w:tcPr>
            <w:tcW w:w="2145" w:type="dxa"/>
            <w:tcBorders>
              <w:top w:val="nil"/>
              <w:left w:val="single" w:sz="4" w:space="0" w:color="auto"/>
              <w:bottom w:val="nil"/>
              <w:right w:val="single" w:sz="4" w:space="0" w:color="auto"/>
            </w:tcBorders>
            <w:shd w:val="clear" w:color="auto" w:fill="auto"/>
            <w:noWrap/>
            <w:vAlign w:val="center"/>
            <w:hideMark/>
          </w:tcPr>
          <w:p w14:paraId="4B68A13A" w14:textId="77777777" w:rsidR="00CE46E9" w:rsidRPr="00761418" w:rsidRDefault="00CE46E9" w:rsidP="00917F2D">
            <w:pPr>
              <w:spacing w:after="0" w:line="240" w:lineRule="auto"/>
              <w:rPr>
                <w:rFonts w:eastAsia="Times New Roman" w:cs="Arial"/>
                <w:b/>
                <w:color w:val="000000"/>
                <w:szCs w:val="24"/>
              </w:rPr>
            </w:pPr>
            <w:r w:rsidRPr="00761418">
              <w:rPr>
                <w:rFonts w:eastAsia="Times New Roman" w:cs="Arial"/>
                <w:b/>
                <w:color w:val="000000"/>
                <w:szCs w:val="24"/>
              </w:rPr>
              <w:t>Incidence rate</w:t>
            </w:r>
          </w:p>
        </w:tc>
        <w:tc>
          <w:tcPr>
            <w:tcW w:w="2145" w:type="dxa"/>
            <w:tcBorders>
              <w:top w:val="nil"/>
              <w:left w:val="nil"/>
              <w:bottom w:val="nil"/>
              <w:right w:val="nil"/>
            </w:tcBorders>
            <w:shd w:val="clear" w:color="auto" w:fill="auto"/>
            <w:noWrap/>
            <w:vAlign w:val="bottom"/>
            <w:hideMark/>
          </w:tcPr>
          <w:p w14:paraId="07FE0BBC" w14:textId="77777777" w:rsidR="00CE46E9" w:rsidRPr="00761418" w:rsidRDefault="00CE46E9" w:rsidP="00917F2D">
            <w:pPr>
              <w:spacing w:after="0" w:line="240" w:lineRule="auto"/>
              <w:jc w:val="center"/>
              <w:rPr>
                <w:rFonts w:eastAsia="Times New Roman" w:cs="Arial"/>
                <w:b/>
                <w:color w:val="000000"/>
                <w:szCs w:val="24"/>
              </w:rPr>
            </w:pPr>
            <w:r w:rsidRPr="00761418">
              <w:rPr>
                <w:rFonts w:eastAsia="Times New Roman" w:cs="Arial"/>
                <w:b/>
                <w:color w:val="000000"/>
                <w:szCs w:val="24"/>
              </w:rPr>
              <w:t> </w:t>
            </w:r>
          </w:p>
        </w:tc>
        <w:tc>
          <w:tcPr>
            <w:tcW w:w="2145" w:type="dxa"/>
            <w:tcBorders>
              <w:top w:val="nil"/>
              <w:left w:val="single" w:sz="4" w:space="0" w:color="auto"/>
              <w:bottom w:val="nil"/>
              <w:right w:val="single" w:sz="4" w:space="0" w:color="auto"/>
            </w:tcBorders>
            <w:shd w:val="clear" w:color="auto" w:fill="auto"/>
            <w:noWrap/>
            <w:vAlign w:val="bottom"/>
            <w:hideMark/>
          </w:tcPr>
          <w:p w14:paraId="3814E0B9" w14:textId="77777777" w:rsidR="00CE46E9" w:rsidRPr="00761418" w:rsidRDefault="00CE46E9" w:rsidP="00917F2D">
            <w:pPr>
              <w:spacing w:after="0" w:line="240" w:lineRule="auto"/>
              <w:jc w:val="center"/>
              <w:rPr>
                <w:rFonts w:eastAsia="Times New Roman" w:cs="Arial"/>
                <w:b/>
                <w:color w:val="000000"/>
                <w:szCs w:val="24"/>
              </w:rPr>
            </w:pPr>
            <w:r w:rsidRPr="00761418">
              <w:rPr>
                <w:rFonts w:eastAsia="Times New Roman" w:cs="Arial"/>
                <w:b/>
                <w:color w:val="000000"/>
                <w:szCs w:val="24"/>
              </w:rPr>
              <w:t> </w:t>
            </w:r>
          </w:p>
        </w:tc>
        <w:tc>
          <w:tcPr>
            <w:tcW w:w="2145" w:type="dxa"/>
            <w:tcBorders>
              <w:top w:val="single" w:sz="4" w:space="0" w:color="auto"/>
              <w:left w:val="single" w:sz="4" w:space="0" w:color="auto"/>
              <w:bottom w:val="nil"/>
              <w:right w:val="nil"/>
            </w:tcBorders>
            <w:shd w:val="clear" w:color="auto" w:fill="auto"/>
            <w:noWrap/>
            <w:vAlign w:val="bottom"/>
            <w:hideMark/>
          </w:tcPr>
          <w:p w14:paraId="13FDE03E" w14:textId="77777777" w:rsidR="00CE46E9" w:rsidRPr="00761418" w:rsidRDefault="00CE46E9" w:rsidP="00917F2D">
            <w:pPr>
              <w:spacing w:after="0" w:line="240" w:lineRule="auto"/>
              <w:jc w:val="center"/>
              <w:rPr>
                <w:rFonts w:eastAsia="Times New Roman" w:cs="Arial"/>
                <w:b/>
                <w:color w:val="000000"/>
                <w:szCs w:val="24"/>
              </w:rPr>
            </w:pPr>
            <w:r w:rsidRPr="00761418">
              <w:rPr>
                <w:rFonts w:eastAsia="Times New Roman" w:cs="Arial"/>
                <w:b/>
                <w:color w:val="000000"/>
                <w:szCs w:val="24"/>
              </w:rPr>
              <w:t> </w:t>
            </w:r>
          </w:p>
        </w:tc>
        <w:tc>
          <w:tcPr>
            <w:tcW w:w="2145" w:type="dxa"/>
            <w:tcBorders>
              <w:top w:val="nil"/>
              <w:left w:val="single" w:sz="4" w:space="0" w:color="auto"/>
              <w:bottom w:val="nil"/>
              <w:right w:val="single" w:sz="4" w:space="0" w:color="auto"/>
            </w:tcBorders>
            <w:shd w:val="clear" w:color="auto" w:fill="auto"/>
            <w:noWrap/>
            <w:vAlign w:val="bottom"/>
            <w:hideMark/>
          </w:tcPr>
          <w:p w14:paraId="0D90657F" w14:textId="77777777" w:rsidR="00CE46E9" w:rsidRPr="00761418" w:rsidRDefault="00CE46E9" w:rsidP="00917F2D">
            <w:pPr>
              <w:spacing w:after="0" w:line="240" w:lineRule="auto"/>
              <w:jc w:val="center"/>
              <w:rPr>
                <w:rFonts w:eastAsia="Times New Roman" w:cs="Arial"/>
                <w:b/>
                <w:color w:val="000000"/>
                <w:szCs w:val="24"/>
              </w:rPr>
            </w:pPr>
            <w:r w:rsidRPr="00761418">
              <w:rPr>
                <w:rFonts w:eastAsia="Times New Roman" w:cs="Arial"/>
                <w:b/>
                <w:color w:val="000000"/>
                <w:szCs w:val="24"/>
              </w:rPr>
              <w:t> </w:t>
            </w:r>
          </w:p>
        </w:tc>
        <w:tc>
          <w:tcPr>
            <w:tcW w:w="2145" w:type="dxa"/>
            <w:tcBorders>
              <w:top w:val="nil"/>
              <w:left w:val="single" w:sz="4" w:space="0" w:color="auto"/>
              <w:right w:val="single" w:sz="4" w:space="0" w:color="auto"/>
            </w:tcBorders>
            <w:shd w:val="clear" w:color="auto" w:fill="auto"/>
            <w:noWrap/>
            <w:vAlign w:val="bottom"/>
            <w:hideMark/>
          </w:tcPr>
          <w:p w14:paraId="77926ABC" w14:textId="77777777" w:rsidR="00CE46E9" w:rsidRPr="00761418" w:rsidRDefault="00CE46E9" w:rsidP="00917F2D">
            <w:pPr>
              <w:spacing w:after="0" w:line="240" w:lineRule="auto"/>
              <w:jc w:val="center"/>
              <w:rPr>
                <w:rFonts w:eastAsia="Times New Roman" w:cs="Arial"/>
                <w:b/>
                <w:color w:val="000000"/>
                <w:szCs w:val="24"/>
              </w:rPr>
            </w:pPr>
            <w:r w:rsidRPr="00761418">
              <w:rPr>
                <w:rFonts w:eastAsia="Times New Roman" w:cs="Arial"/>
                <w:b/>
                <w:color w:val="000000"/>
                <w:szCs w:val="24"/>
              </w:rPr>
              <w:t> </w:t>
            </w:r>
          </w:p>
        </w:tc>
      </w:tr>
      <w:tr w:rsidR="00CE46E9" w:rsidRPr="00761418" w14:paraId="0C5CDA60" w14:textId="77777777" w:rsidTr="002F710F">
        <w:trPr>
          <w:trHeight w:val="68"/>
        </w:trPr>
        <w:tc>
          <w:tcPr>
            <w:tcW w:w="2145" w:type="dxa"/>
            <w:tcBorders>
              <w:top w:val="nil"/>
              <w:left w:val="single" w:sz="4" w:space="0" w:color="auto"/>
              <w:bottom w:val="nil"/>
              <w:right w:val="single" w:sz="4" w:space="0" w:color="auto"/>
            </w:tcBorders>
            <w:shd w:val="clear" w:color="auto" w:fill="auto"/>
            <w:noWrap/>
            <w:vAlign w:val="bottom"/>
            <w:hideMark/>
          </w:tcPr>
          <w:p w14:paraId="273E65F4" w14:textId="77777777" w:rsidR="00CE46E9" w:rsidRPr="00761418" w:rsidRDefault="00CE46E9" w:rsidP="00917F2D">
            <w:pPr>
              <w:spacing w:after="0" w:line="240" w:lineRule="auto"/>
              <w:rPr>
                <w:rFonts w:eastAsia="Times New Roman" w:cs="Arial"/>
                <w:color w:val="000000"/>
                <w:szCs w:val="24"/>
              </w:rPr>
            </w:pPr>
            <w:r w:rsidRPr="00761418">
              <w:rPr>
                <w:rFonts w:eastAsia="Times New Roman" w:cs="Arial"/>
                <w:color w:val="000000"/>
                <w:szCs w:val="24"/>
              </w:rPr>
              <w:t>Overall</w:t>
            </w:r>
          </w:p>
        </w:tc>
        <w:tc>
          <w:tcPr>
            <w:tcW w:w="2145" w:type="dxa"/>
            <w:tcBorders>
              <w:top w:val="nil"/>
              <w:left w:val="nil"/>
              <w:bottom w:val="nil"/>
              <w:right w:val="nil"/>
            </w:tcBorders>
            <w:shd w:val="clear" w:color="auto" w:fill="auto"/>
            <w:noWrap/>
            <w:vAlign w:val="bottom"/>
            <w:hideMark/>
          </w:tcPr>
          <w:p w14:paraId="1FDA0D78"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5.2 (4.9 to 5.5)</w:t>
            </w:r>
          </w:p>
        </w:tc>
        <w:tc>
          <w:tcPr>
            <w:tcW w:w="2145" w:type="dxa"/>
            <w:tcBorders>
              <w:top w:val="nil"/>
              <w:left w:val="single" w:sz="4" w:space="0" w:color="auto"/>
              <w:bottom w:val="nil"/>
              <w:right w:val="single" w:sz="4" w:space="0" w:color="auto"/>
            </w:tcBorders>
            <w:shd w:val="clear" w:color="auto" w:fill="auto"/>
            <w:noWrap/>
            <w:vAlign w:val="bottom"/>
            <w:hideMark/>
          </w:tcPr>
          <w:p w14:paraId="0B43878B"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-0.7 (-2.7 to 1.4)</w:t>
            </w:r>
          </w:p>
        </w:tc>
        <w:tc>
          <w:tcPr>
            <w:tcW w:w="2145" w:type="dxa"/>
            <w:tcBorders>
              <w:top w:val="nil"/>
              <w:left w:val="single" w:sz="4" w:space="0" w:color="auto"/>
              <w:bottom w:val="nil"/>
              <w:right w:val="nil"/>
            </w:tcBorders>
            <w:shd w:val="clear" w:color="auto" w:fill="auto"/>
            <w:noWrap/>
            <w:vAlign w:val="bottom"/>
            <w:hideMark/>
          </w:tcPr>
          <w:p w14:paraId="38B395E5" w14:textId="77777777" w:rsidR="00CE46E9" w:rsidRPr="00761418" w:rsidRDefault="00CE46E9" w:rsidP="00917F2D">
            <w:pPr>
              <w:spacing w:after="0" w:line="240" w:lineRule="auto"/>
              <w:jc w:val="center"/>
              <w:rPr>
                <w:rFonts w:eastAsia="Times New Roman" w:cs="Arial"/>
                <w:color w:val="000000"/>
                <w:szCs w:val="24"/>
              </w:rPr>
            </w:pPr>
          </w:p>
        </w:tc>
        <w:tc>
          <w:tcPr>
            <w:tcW w:w="2145" w:type="dxa"/>
            <w:tcBorders>
              <w:top w:val="nil"/>
              <w:left w:val="single" w:sz="4" w:space="0" w:color="auto"/>
              <w:bottom w:val="nil"/>
              <w:right w:val="nil"/>
            </w:tcBorders>
            <w:shd w:val="clear" w:color="auto" w:fill="auto"/>
            <w:noWrap/>
            <w:vAlign w:val="bottom"/>
            <w:hideMark/>
          </w:tcPr>
          <w:p w14:paraId="5C8A4715"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 </w:t>
            </w:r>
          </w:p>
        </w:tc>
        <w:tc>
          <w:tcPr>
            <w:tcW w:w="2145" w:type="dxa"/>
            <w:tcBorders>
              <w:top w:val="nil"/>
              <w:left w:val="single" w:sz="4" w:space="0" w:color="auto"/>
              <w:bottom w:val="nil"/>
              <w:right w:val="single" w:sz="4" w:space="0" w:color="auto"/>
            </w:tcBorders>
            <w:shd w:val="clear" w:color="auto" w:fill="auto"/>
            <w:noWrap/>
            <w:vAlign w:val="bottom"/>
            <w:hideMark/>
          </w:tcPr>
          <w:p w14:paraId="3FD5E91D"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4.0 (3.6 to 4.5)</w:t>
            </w:r>
          </w:p>
        </w:tc>
      </w:tr>
      <w:tr w:rsidR="00CE46E9" w:rsidRPr="00761418" w14:paraId="4E777D34" w14:textId="77777777" w:rsidTr="002F710F">
        <w:trPr>
          <w:trHeight w:val="288"/>
        </w:trPr>
        <w:tc>
          <w:tcPr>
            <w:tcW w:w="2145" w:type="dxa"/>
            <w:tcBorders>
              <w:top w:val="nil"/>
              <w:left w:val="single" w:sz="4" w:space="0" w:color="auto"/>
              <w:bottom w:val="nil"/>
              <w:right w:val="single" w:sz="4" w:space="0" w:color="auto"/>
            </w:tcBorders>
            <w:shd w:val="clear" w:color="auto" w:fill="auto"/>
            <w:noWrap/>
            <w:vAlign w:val="bottom"/>
            <w:hideMark/>
          </w:tcPr>
          <w:p w14:paraId="61324A5F" w14:textId="77777777" w:rsidR="00CE46E9" w:rsidRPr="00761418" w:rsidRDefault="00CE46E9" w:rsidP="00917F2D">
            <w:pPr>
              <w:spacing w:after="0" w:line="240" w:lineRule="auto"/>
              <w:rPr>
                <w:rFonts w:eastAsia="Times New Roman" w:cs="Arial"/>
                <w:i/>
                <w:iCs/>
                <w:color w:val="000000"/>
                <w:szCs w:val="24"/>
              </w:rPr>
            </w:pPr>
            <w:r w:rsidRPr="00761418">
              <w:rPr>
                <w:rFonts w:eastAsia="Times New Roman" w:cs="Arial"/>
                <w:i/>
                <w:iCs/>
                <w:color w:val="000000"/>
                <w:szCs w:val="24"/>
              </w:rPr>
              <w:t> </w:t>
            </w:r>
          </w:p>
        </w:tc>
        <w:tc>
          <w:tcPr>
            <w:tcW w:w="2145" w:type="dxa"/>
            <w:tcBorders>
              <w:top w:val="nil"/>
              <w:left w:val="nil"/>
              <w:bottom w:val="nil"/>
              <w:right w:val="nil"/>
            </w:tcBorders>
            <w:shd w:val="clear" w:color="auto" w:fill="auto"/>
            <w:noWrap/>
            <w:vAlign w:val="bottom"/>
            <w:hideMark/>
          </w:tcPr>
          <w:p w14:paraId="615C12E0"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1987 - 2011</w:t>
            </w:r>
          </w:p>
        </w:tc>
        <w:tc>
          <w:tcPr>
            <w:tcW w:w="2145" w:type="dxa"/>
            <w:tcBorders>
              <w:top w:val="nil"/>
              <w:left w:val="single" w:sz="4" w:space="0" w:color="auto"/>
              <w:bottom w:val="nil"/>
              <w:right w:val="single" w:sz="4" w:space="0" w:color="auto"/>
            </w:tcBorders>
            <w:shd w:val="clear" w:color="auto" w:fill="auto"/>
            <w:noWrap/>
            <w:vAlign w:val="bottom"/>
            <w:hideMark/>
          </w:tcPr>
          <w:p w14:paraId="244CF896"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2011 - 2017</w:t>
            </w:r>
          </w:p>
        </w:tc>
        <w:tc>
          <w:tcPr>
            <w:tcW w:w="2145" w:type="dxa"/>
            <w:tcBorders>
              <w:top w:val="nil"/>
              <w:left w:val="single" w:sz="4" w:space="0" w:color="auto"/>
              <w:bottom w:val="nil"/>
              <w:right w:val="nil"/>
            </w:tcBorders>
            <w:shd w:val="clear" w:color="auto" w:fill="auto"/>
            <w:noWrap/>
            <w:vAlign w:val="bottom"/>
            <w:hideMark/>
          </w:tcPr>
          <w:p w14:paraId="37E96AD5" w14:textId="77777777" w:rsidR="00CE46E9" w:rsidRPr="00761418" w:rsidRDefault="00CE46E9" w:rsidP="00917F2D">
            <w:pPr>
              <w:spacing w:after="0" w:line="240" w:lineRule="auto"/>
              <w:jc w:val="center"/>
              <w:rPr>
                <w:rFonts w:eastAsia="Times New Roman" w:cs="Arial"/>
                <w:i/>
                <w:iCs/>
                <w:color w:val="000000"/>
                <w:szCs w:val="24"/>
              </w:rPr>
            </w:pPr>
          </w:p>
        </w:tc>
        <w:tc>
          <w:tcPr>
            <w:tcW w:w="2145" w:type="dxa"/>
            <w:tcBorders>
              <w:top w:val="nil"/>
              <w:left w:val="single" w:sz="4" w:space="0" w:color="auto"/>
              <w:bottom w:val="nil"/>
              <w:right w:val="nil"/>
            </w:tcBorders>
            <w:shd w:val="clear" w:color="auto" w:fill="auto"/>
            <w:noWrap/>
            <w:vAlign w:val="bottom"/>
            <w:hideMark/>
          </w:tcPr>
          <w:p w14:paraId="10B44D24"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 </w:t>
            </w:r>
          </w:p>
        </w:tc>
        <w:tc>
          <w:tcPr>
            <w:tcW w:w="2145" w:type="dxa"/>
            <w:tcBorders>
              <w:top w:val="nil"/>
              <w:left w:val="single" w:sz="4" w:space="0" w:color="auto"/>
              <w:bottom w:val="nil"/>
              <w:right w:val="single" w:sz="4" w:space="0" w:color="auto"/>
            </w:tcBorders>
            <w:shd w:val="clear" w:color="auto" w:fill="auto"/>
            <w:noWrap/>
            <w:vAlign w:val="bottom"/>
            <w:hideMark/>
          </w:tcPr>
          <w:p w14:paraId="700016CC"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1987 - 2017</w:t>
            </w:r>
          </w:p>
        </w:tc>
      </w:tr>
      <w:tr w:rsidR="00CE46E9" w:rsidRPr="00761418" w14:paraId="62AA7493" w14:textId="77777777" w:rsidTr="002F710F">
        <w:trPr>
          <w:trHeight w:val="95"/>
        </w:trPr>
        <w:tc>
          <w:tcPr>
            <w:tcW w:w="2145" w:type="dxa"/>
            <w:tcBorders>
              <w:top w:val="nil"/>
              <w:left w:val="single" w:sz="4" w:space="0" w:color="auto"/>
              <w:bottom w:val="nil"/>
              <w:right w:val="single" w:sz="4" w:space="0" w:color="auto"/>
            </w:tcBorders>
            <w:shd w:val="clear" w:color="auto" w:fill="auto"/>
            <w:noWrap/>
            <w:vAlign w:val="bottom"/>
            <w:hideMark/>
          </w:tcPr>
          <w:p w14:paraId="590B1FB6" w14:textId="77777777" w:rsidR="00CE46E9" w:rsidRPr="00761418" w:rsidRDefault="00CE46E9" w:rsidP="00917F2D">
            <w:pPr>
              <w:spacing w:after="0" w:line="240" w:lineRule="auto"/>
              <w:rPr>
                <w:rFonts w:eastAsia="Times New Roman" w:cs="Arial"/>
                <w:color w:val="000000"/>
                <w:szCs w:val="24"/>
              </w:rPr>
            </w:pPr>
            <w:r w:rsidRPr="00761418">
              <w:rPr>
                <w:rFonts w:eastAsia="Times New Roman" w:cs="Arial"/>
                <w:color w:val="000000"/>
                <w:szCs w:val="24"/>
              </w:rPr>
              <w:t> </w:t>
            </w:r>
          </w:p>
        </w:tc>
        <w:tc>
          <w:tcPr>
            <w:tcW w:w="2145" w:type="dxa"/>
            <w:tcBorders>
              <w:top w:val="nil"/>
              <w:left w:val="nil"/>
              <w:bottom w:val="nil"/>
              <w:right w:val="nil"/>
            </w:tcBorders>
            <w:shd w:val="clear" w:color="auto" w:fill="auto"/>
            <w:noWrap/>
            <w:vAlign w:val="bottom"/>
            <w:hideMark/>
          </w:tcPr>
          <w:p w14:paraId="1ACC7192" w14:textId="77777777" w:rsidR="00CE46E9" w:rsidRPr="00761418" w:rsidRDefault="00CE46E9" w:rsidP="00917F2D">
            <w:pPr>
              <w:spacing w:after="0" w:line="240" w:lineRule="auto"/>
              <w:rPr>
                <w:rFonts w:eastAsia="Times New Roman" w:cs="Arial"/>
                <w:color w:val="000000"/>
                <w:szCs w:val="24"/>
              </w:rPr>
            </w:pPr>
          </w:p>
        </w:tc>
        <w:tc>
          <w:tcPr>
            <w:tcW w:w="2145" w:type="dxa"/>
            <w:tcBorders>
              <w:top w:val="nil"/>
              <w:left w:val="single" w:sz="4" w:space="0" w:color="auto"/>
              <w:bottom w:val="nil"/>
              <w:right w:val="single" w:sz="4" w:space="0" w:color="auto"/>
            </w:tcBorders>
            <w:shd w:val="clear" w:color="auto" w:fill="auto"/>
            <w:noWrap/>
            <w:vAlign w:val="bottom"/>
            <w:hideMark/>
          </w:tcPr>
          <w:p w14:paraId="302DA975"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 </w:t>
            </w:r>
          </w:p>
        </w:tc>
        <w:tc>
          <w:tcPr>
            <w:tcW w:w="2145" w:type="dxa"/>
            <w:tcBorders>
              <w:top w:val="nil"/>
              <w:left w:val="single" w:sz="4" w:space="0" w:color="auto"/>
              <w:bottom w:val="nil"/>
              <w:right w:val="nil"/>
            </w:tcBorders>
            <w:shd w:val="clear" w:color="auto" w:fill="auto"/>
            <w:noWrap/>
            <w:vAlign w:val="bottom"/>
            <w:hideMark/>
          </w:tcPr>
          <w:p w14:paraId="62CAC8EA" w14:textId="77777777" w:rsidR="00CE46E9" w:rsidRPr="00761418" w:rsidRDefault="00CE46E9" w:rsidP="00917F2D">
            <w:pPr>
              <w:spacing w:after="0" w:line="240" w:lineRule="auto"/>
              <w:jc w:val="center"/>
              <w:rPr>
                <w:rFonts w:eastAsia="Times New Roman" w:cs="Arial"/>
                <w:color w:val="000000"/>
                <w:szCs w:val="24"/>
              </w:rPr>
            </w:pPr>
          </w:p>
        </w:tc>
        <w:tc>
          <w:tcPr>
            <w:tcW w:w="2145" w:type="dxa"/>
            <w:tcBorders>
              <w:top w:val="nil"/>
              <w:left w:val="single" w:sz="4" w:space="0" w:color="auto"/>
              <w:bottom w:val="nil"/>
              <w:right w:val="nil"/>
            </w:tcBorders>
            <w:shd w:val="clear" w:color="auto" w:fill="auto"/>
            <w:noWrap/>
            <w:vAlign w:val="bottom"/>
            <w:hideMark/>
          </w:tcPr>
          <w:p w14:paraId="188AA9ED"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 </w:t>
            </w:r>
          </w:p>
        </w:tc>
        <w:tc>
          <w:tcPr>
            <w:tcW w:w="2145" w:type="dxa"/>
            <w:tcBorders>
              <w:top w:val="nil"/>
              <w:left w:val="single" w:sz="4" w:space="0" w:color="auto"/>
              <w:bottom w:val="nil"/>
              <w:right w:val="single" w:sz="4" w:space="0" w:color="auto"/>
            </w:tcBorders>
            <w:shd w:val="clear" w:color="auto" w:fill="auto"/>
            <w:noWrap/>
            <w:vAlign w:val="bottom"/>
            <w:hideMark/>
          </w:tcPr>
          <w:p w14:paraId="1AA5B8AD"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 </w:t>
            </w:r>
          </w:p>
        </w:tc>
      </w:tr>
      <w:tr w:rsidR="00CE46E9" w:rsidRPr="00761418" w14:paraId="587DE30F" w14:textId="77777777" w:rsidTr="002F710F">
        <w:trPr>
          <w:trHeight w:val="102"/>
        </w:trPr>
        <w:tc>
          <w:tcPr>
            <w:tcW w:w="2145" w:type="dxa"/>
            <w:tcBorders>
              <w:top w:val="nil"/>
              <w:left w:val="single" w:sz="4" w:space="0" w:color="auto"/>
              <w:bottom w:val="nil"/>
              <w:right w:val="single" w:sz="4" w:space="0" w:color="auto"/>
            </w:tcBorders>
            <w:shd w:val="clear" w:color="auto" w:fill="auto"/>
            <w:noWrap/>
            <w:vAlign w:val="bottom"/>
            <w:hideMark/>
          </w:tcPr>
          <w:p w14:paraId="4047204A" w14:textId="6025C768" w:rsidR="00CE46E9" w:rsidRPr="00761418" w:rsidRDefault="00CE46E9" w:rsidP="00917F2D">
            <w:pPr>
              <w:spacing w:after="0" w:line="240" w:lineRule="auto"/>
              <w:rPr>
                <w:rFonts w:eastAsia="Times New Roman" w:cs="Arial"/>
                <w:color w:val="000000"/>
                <w:szCs w:val="24"/>
              </w:rPr>
            </w:pPr>
            <w:r w:rsidRPr="00761418">
              <w:rPr>
                <w:rFonts w:eastAsia="Times New Roman" w:cs="Arial"/>
                <w:color w:val="000000"/>
                <w:szCs w:val="24"/>
              </w:rPr>
              <w:t>Local</w:t>
            </w:r>
            <w:r w:rsidR="002F710F" w:rsidRPr="00761418">
              <w:rPr>
                <w:rFonts w:eastAsia="Times New Roman" w:cs="Arial"/>
                <w:color w:val="000000"/>
                <w:szCs w:val="24"/>
              </w:rPr>
              <w:t xml:space="preserve"> stage</w:t>
            </w:r>
          </w:p>
        </w:tc>
        <w:tc>
          <w:tcPr>
            <w:tcW w:w="2145" w:type="dxa"/>
            <w:tcBorders>
              <w:top w:val="nil"/>
              <w:left w:val="nil"/>
              <w:bottom w:val="nil"/>
              <w:right w:val="nil"/>
            </w:tcBorders>
            <w:shd w:val="clear" w:color="auto" w:fill="auto"/>
            <w:noWrap/>
            <w:vAlign w:val="bottom"/>
            <w:hideMark/>
          </w:tcPr>
          <w:p w14:paraId="03AE9E83"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10.2 (9.7 to 10.8)</w:t>
            </w:r>
          </w:p>
        </w:tc>
        <w:tc>
          <w:tcPr>
            <w:tcW w:w="2145" w:type="dxa"/>
            <w:tcBorders>
              <w:top w:val="nil"/>
              <w:left w:val="single" w:sz="4" w:space="0" w:color="auto"/>
              <w:bottom w:val="nil"/>
              <w:right w:val="single" w:sz="4" w:space="0" w:color="auto"/>
            </w:tcBorders>
            <w:shd w:val="clear" w:color="auto" w:fill="auto"/>
            <w:noWrap/>
            <w:vAlign w:val="bottom"/>
            <w:hideMark/>
          </w:tcPr>
          <w:p w14:paraId="5D03C315"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5.0 (2.5 to 7.5)</w:t>
            </w:r>
          </w:p>
        </w:tc>
        <w:tc>
          <w:tcPr>
            <w:tcW w:w="2145" w:type="dxa"/>
            <w:tcBorders>
              <w:top w:val="nil"/>
              <w:left w:val="single" w:sz="4" w:space="0" w:color="auto"/>
              <w:bottom w:val="nil"/>
              <w:right w:val="nil"/>
            </w:tcBorders>
            <w:shd w:val="clear" w:color="auto" w:fill="auto"/>
            <w:noWrap/>
            <w:vAlign w:val="bottom"/>
            <w:hideMark/>
          </w:tcPr>
          <w:p w14:paraId="745FDF02"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-0.4 (-2.3 to 1.6)</w:t>
            </w:r>
          </w:p>
        </w:tc>
        <w:tc>
          <w:tcPr>
            <w:tcW w:w="2145" w:type="dxa"/>
            <w:tcBorders>
              <w:top w:val="nil"/>
              <w:left w:val="single" w:sz="4" w:space="0" w:color="auto"/>
              <w:bottom w:val="nil"/>
              <w:right w:val="nil"/>
            </w:tcBorders>
            <w:shd w:val="clear" w:color="auto" w:fill="auto"/>
            <w:noWrap/>
            <w:vAlign w:val="bottom"/>
            <w:hideMark/>
          </w:tcPr>
          <w:p w14:paraId="1CFB3C86"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 </w:t>
            </w:r>
          </w:p>
        </w:tc>
        <w:tc>
          <w:tcPr>
            <w:tcW w:w="2145" w:type="dxa"/>
            <w:tcBorders>
              <w:top w:val="nil"/>
              <w:left w:val="single" w:sz="4" w:space="0" w:color="auto"/>
              <w:bottom w:val="nil"/>
              <w:right w:val="single" w:sz="4" w:space="0" w:color="auto"/>
            </w:tcBorders>
            <w:shd w:val="clear" w:color="auto" w:fill="auto"/>
            <w:noWrap/>
            <w:vAlign w:val="bottom"/>
            <w:hideMark/>
          </w:tcPr>
          <w:p w14:paraId="6D4DB0A0"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7.1 (6.5 to 7.8)</w:t>
            </w:r>
          </w:p>
        </w:tc>
      </w:tr>
      <w:tr w:rsidR="00CE46E9" w:rsidRPr="00761418" w14:paraId="2B5B4C02" w14:textId="77777777" w:rsidTr="002F710F">
        <w:trPr>
          <w:trHeight w:val="288"/>
        </w:trPr>
        <w:tc>
          <w:tcPr>
            <w:tcW w:w="2145" w:type="dxa"/>
            <w:tcBorders>
              <w:top w:val="nil"/>
              <w:left w:val="single" w:sz="4" w:space="0" w:color="auto"/>
              <w:bottom w:val="nil"/>
              <w:right w:val="single" w:sz="4" w:space="0" w:color="auto"/>
            </w:tcBorders>
            <w:shd w:val="clear" w:color="auto" w:fill="auto"/>
            <w:noWrap/>
            <w:vAlign w:val="bottom"/>
            <w:hideMark/>
          </w:tcPr>
          <w:p w14:paraId="707C96E1" w14:textId="77777777" w:rsidR="00CE46E9" w:rsidRPr="00761418" w:rsidRDefault="00CE46E9" w:rsidP="00917F2D">
            <w:pPr>
              <w:spacing w:after="0" w:line="240" w:lineRule="auto"/>
              <w:rPr>
                <w:rFonts w:eastAsia="Times New Roman" w:cs="Arial"/>
                <w:i/>
                <w:iCs/>
                <w:color w:val="000000"/>
                <w:szCs w:val="24"/>
              </w:rPr>
            </w:pPr>
            <w:r w:rsidRPr="00761418">
              <w:rPr>
                <w:rFonts w:eastAsia="Times New Roman" w:cs="Arial"/>
                <w:i/>
                <w:iCs/>
                <w:color w:val="000000"/>
                <w:szCs w:val="24"/>
              </w:rPr>
              <w:t> </w:t>
            </w:r>
          </w:p>
        </w:tc>
        <w:tc>
          <w:tcPr>
            <w:tcW w:w="2145" w:type="dxa"/>
            <w:tcBorders>
              <w:top w:val="nil"/>
              <w:left w:val="nil"/>
              <w:bottom w:val="nil"/>
              <w:right w:val="nil"/>
            </w:tcBorders>
            <w:shd w:val="clear" w:color="auto" w:fill="auto"/>
            <w:noWrap/>
            <w:vAlign w:val="bottom"/>
            <w:hideMark/>
          </w:tcPr>
          <w:p w14:paraId="76B52D2C"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1987 - 2006</w:t>
            </w:r>
          </w:p>
        </w:tc>
        <w:tc>
          <w:tcPr>
            <w:tcW w:w="2145" w:type="dxa"/>
            <w:tcBorders>
              <w:top w:val="nil"/>
              <w:left w:val="single" w:sz="4" w:space="0" w:color="auto"/>
              <w:bottom w:val="nil"/>
              <w:right w:val="single" w:sz="4" w:space="0" w:color="auto"/>
            </w:tcBorders>
            <w:shd w:val="clear" w:color="auto" w:fill="auto"/>
            <w:noWrap/>
            <w:vAlign w:val="bottom"/>
            <w:hideMark/>
          </w:tcPr>
          <w:p w14:paraId="1F92DF82"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2006 - 2011</w:t>
            </w:r>
          </w:p>
        </w:tc>
        <w:tc>
          <w:tcPr>
            <w:tcW w:w="2145" w:type="dxa"/>
            <w:tcBorders>
              <w:top w:val="nil"/>
              <w:left w:val="single" w:sz="4" w:space="0" w:color="auto"/>
              <w:bottom w:val="nil"/>
              <w:right w:val="nil"/>
            </w:tcBorders>
            <w:shd w:val="clear" w:color="auto" w:fill="auto"/>
            <w:noWrap/>
            <w:vAlign w:val="bottom"/>
            <w:hideMark/>
          </w:tcPr>
          <w:p w14:paraId="60952EB4"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2011 - 2017</w:t>
            </w:r>
          </w:p>
        </w:tc>
        <w:tc>
          <w:tcPr>
            <w:tcW w:w="2145" w:type="dxa"/>
            <w:tcBorders>
              <w:top w:val="nil"/>
              <w:left w:val="single" w:sz="4" w:space="0" w:color="auto"/>
              <w:bottom w:val="nil"/>
              <w:right w:val="nil"/>
            </w:tcBorders>
            <w:shd w:val="clear" w:color="auto" w:fill="auto"/>
            <w:noWrap/>
            <w:vAlign w:val="bottom"/>
            <w:hideMark/>
          </w:tcPr>
          <w:p w14:paraId="562D9D3C"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 </w:t>
            </w:r>
          </w:p>
        </w:tc>
        <w:tc>
          <w:tcPr>
            <w:tcW w:w="2145" w:type="dxa"/>
            <w:tcBorders>
              <w:top w:val="nil"/>
              <w:left w:val="single" w:sz="4" w:space="0" w:color="auto"/>
              <w:bottom w:val="nil"/>
              <w:right w:val="single" w:sz="4" w:space="0" w:color="auto"/>
            </w:tcBorders>
            <w:shd w:val="clear" w:color="auto" w:fill="auto"/>
            <w:noWrap/>
            <w:vAlign w:val="bottom"/>
            <w:hideMark/>
          </w:tcPr>
          <w:p w14:paraId="2EF5EB94"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1987 - 2017</w:t>
            </w:r>
          </w:p>
        </w:tc>
      </w:tr>
      <w:tr w:rsidR="00CE46E9" w:rsidRPr="00761418" w14:paraId="26DCA16C" w14:textId="77777777" w:rsidTr="002F710F">
        <w:trPr>
          <w:trHeight w:val="70"/>
        </w:trPr>
        <w:tc>
          <w:tcPr>
            <w:tcW w:w="2145" w:type="dxa"/>
            <w:tcBorders>
              <w:top w:val="nil"/>
              <w:left w:val="single" w:sz="4" w:space="0" w:color="auto"/>
              <w:bottom w:val="nil"/>
              <w:right w:val="single" w:sz="4" w:space="0" w:color="auto"/>
            </w:tcBorders>
            <w:shd w:val="clear" w:color="auto" w:fill="auto"/>
            <w:noWrap/>
            <w:vAlign w:val="bottom"/>
            <w:hideMark/>
          </w:tcPr>
          <w:p w14:paraId="687FA7E4" w14:textId="77777777" w:rsidR="00CE46E9" w:rsidRPr="00761418" w:rsidRDefault="00CE46E9" w:rsidP="00917F2D">
            <w:pPr>
              <w:spacing w:after="0" w:line="240" w:lineRule="auto"/>
              <w:rPr>
                <w:rFonts w:eastAsia="Times New Roman" w:cs="Arial"/>
                <w:color w:val="000000"/>
                <w:szCs w:val="24"/>
              </w:rPr>
            </w:pPr>
            <w:r w:rsidRPr="00761418">
              <w:rPr>
                <w:rFonts w:eastAsia="Times New Roman" w:cs="Arial"/>
                <w:color w:val="000000"/>
                <w:szCs w:val="24"/>
              </w:rPr>
              <w:t> </w:t>
            </w:r>
          </w:p>
        </w:tc>
        <w:tc>
          <w:tcPr>
            <w:tcW w:w="2145" w:type="dxa"/>
            <w:tcBorders>
              <w:top w:val="nil"/>
              <w:left w:val="nil"/>
              <w:bottom w:val="nil"/>
              <w:right w:val="nil"/>
            </w:tcBorders>
            <w:shd w:val="clear" w:color="auto" w:fill="auto"/>
            <w:noWrap/>
            <w:vAlign w:val="bottom"/>
            <w:hideMark/>
          </w:tcPr>
          <w:p w14:paraId="0458B464" w14:textId="77777777" w:rsidR="00CE46E9" w:rsidRPr="00761418" w:rsidRDefault="00CE46E9" w:rsidP="00917F2D">
            <w:pPr>
              <w:spacing w:after="0" w:line="240" w:lineRule="auto"/>
              <w:rPr>
                <w:rFonts w:eastAsia="Times New Roman" w:cs="Arial"/>
                <w:color w:val="000000"/>
                <w:szCs w:val="24"/>
              </w:rPr>
            </w:pPr>
          </w:p>
        </w:tc>
        <w:tc>
          <w:tcPr>
            <w:tcW w:w="2145" w:type="dxa"/>
            <w:tcBorders>
              <w:top w:val="nil"/>
              <w:left w:val="single" w:sz="4" w:space="0" w:color="auto"/>
              <w:bottom w:val="nil"/>
              <w:right w:val="single" w:sz="4" w:space="0" w:color="auto"/>
            </w:tcBorders>
            <w:shd w:val="clear" w:color="auto" w:fill="auto"/>
            <w:noWrap/>
            <w:vAlign w:val="bottom"/>
            <w:hideMark/>
          </w:tcPr>
          <w:p w14:paraId="5A0D1CA5"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 </w:t>
            </w:r>
          </w:p>
        </w:tc>
        <w:tc>
          <w:tcPr>
            <w:tcW w:w="2145" w:type="dxa"/>
            <w:tcBorders>
              <w:top w:val="nil"/>
              <w:left w:val="single" w:sz="4" w:space="0" w:color="auto"/>
              <w:bottom w:val="nil"/>
              <w:right w:val="nil"/>
            </w:tcBorders>
            <w:shd w:val="clear" w:color="auto" w:fill="auto"/>
            <w:noWrap/>
            <w:vAlign w:val="bottom"/>
            <w:hideMark/>
          </w:tcPr>
          <w:p w14:paraId="4410C83F" w14:textId="77777777" w:rsidR="00CE46E9" w:rsidRPr="00761418" w:rsidRDefault="00CE46E9" w:rsidP="00917F2D">
            <w:pPr>
              <w:spacing w:after="0" w:line="240" w:lineRule="auto"/>
              <w:jc w:val="center"/>
              <w:rPr>
                <w:rFonts w:eastAsia="Times New Roman" w:cs="Arial"/>
                <w:i/>
                <w:iCs/>
                <w:color w:val="000000"/>
                <w:szCs w:val="24"/>
              </w:rPr>
            </w:pPr>
          </w:p>
        </w:tc>
        <w:tc>
          <w:tcPr>
            <w:tcW w:w="2145" w:type="dxa"/>
            <w:tcBorders>
              <w:top w:val="nil"/>
              <w:left w:val="single" w:sz="4" w:space="0" w:color="auto"/>
              <w:bottom w:val="nil"/>
              <w:right w:val="nil"/>
            </w:tcBorders>
            <w:shd w:val="clear" w:color="auto" w:fill="auto"/>
            <w:noWrap/>
            <w:vAlign w:val="bottom"/>
            <w:hideMark/>
          </w:tcPr>
          <w:p w14:paraId="52DEFEB7"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 </w:t>
            </w:r>
          </w:p>
        </w:tc>
        <w:tc>
          <w:tcPr>
            <w:tcW w:w="2145" w:type="dxa"/>
            <w:tcBorders>
              <w:top w:val="nil"/>
              <w:left w:val="single" w:sz="4" w:space="0" w:color="auto"/>
              <w:bottom w:val="nil"/>
              <w:right w:val="single" w:sz="4" w:space="0" w:color="auto"/>
            </w:tcBorders>
            <w:shd w:val="clear" w:color="auto" w:fill="auto"/>
            <w:noWrap/>
            <w:vAlign w:val="bottom"/>
            <w:hideMark/>
          </w:tcPr>
          <w:p w14:paraId="4FDE868D"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 </w:t>
            </w:r>
          </w:p>
        </w:tc>
      </w:tr>
      <w:tr w:rsidR="00CE46E9" w:rsidRPr="00761418" w14:paraId="5897ECEE" w14:textId="77777777" w:rsidTr="002F710F">
        <w:trPr>
          <w:trHeight w:val="165"/>
        </w:trPr>
        <w:tc>
          <w:tcPr>
            <w:tcW w:w="2145" w:type="dxa"/>
            <w:tcBorders>
              <w:top w:val="nil"/>
              <w:left w:val="single" w:sz="4" w:space="0" w:color="auto"/>
              <w:bottom w:val="nil"/>
              <w:right w:val="single" w:sz="4" w:space="0" w:color="auto"/>
            </w:tcBorders>
            <w:shd w:val="clear" w:color="auto" w:fill="auto"/>
            <w:noWrap/>
            <w:vAlign w:val="bottom"/>
            <w:hideMark/>
          </w:tcPr>
          <w:p w14:paraId="792969AC" w14:textId="5208780A" w:rsidR="00CE46E9" w:rsidRPr="00761418" w:rsidRDefault="00CE46E9" w:rsidP="00917F2D">
            <w:pPr>
              <w:spacing w:after="0" w:line="240" w:lineRule="auto"/>
              <w:rPr>
                <w:rFonts w:eastAsia="Times New Roman" w:cs="Arial"/>
                <w:color w:val="000000"/>
                <w:szCs w:val="24"/>
              </w:rPr>
            </w:pPr>
            <w:r w:rsidRPr="00761418">
              <w:rPr>
                <w:rFonts w:eastAsia="Times New Roman" w:cs="Arial"/>
                <w:color w:val="000000"/>
                <w:szCs w:val="24"/>
              </w:rPr>
              <w:t>Regional</w:t>
            </w:r>
            <w:r w:rsidR="002F710F" w:rsidRPr="00761418">
              <w:rPr>
                <w:rFonts w:eastAsia="Times New Roman" w:cs="Arial"/>
                <w:color w:val="000000"/>
                <w:szCs w:val="24"/>
              </w:rPr>
              <w:t xml:space="preserve"> stage</w:t>
            </w:r>
          </w:p>
        </w:tc>
        <w:tc>
          <w:tcPr>
            <w:tcW w:w="2145" w:type="dxa"/>
            <w:tcBorders>
              <w:top w:val="nil"/>
              <w:left w:val="nil"/>
              <w:bottom w:val="nil"/>
              <w:right w:val="nil"/>
            </w:tcBorders>
            <w:shd w:val="clear" w:color="auto" w:fill="auto"/>
            <w:noWrap/>
            <w:vAlign w:val="bottom"/>
            <w:hideMark/>
          </w:tcPr>
          <w:p w14:paraId="44C7E997"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5.3 (3.7 to 7.0)</w:t>
            </w:r>
          </w:p>
        </w:tc>
        <w:tc>
          <w:tcPr>
            <w:tcW w:w="2145" w:type="dxa"/>
            <w:tcBorders>
              <w:top w:val="nil"/>
              <w:left w:val="single" w:sz="4" w:space="0" w:color="auto"/>
              <w:bottom w:val="nil"/>
              <w:right w:val="single" w:sz="4" w:space="0" w:color="auto"/>
            </w:tcBorders>
            <w:shd w:val="clear" w:color="auto" w:fill="auto"/>
            <w:noWrap/>
            <w:vAlign w:val="bottom"/>
            <w:hideMark/>
          </w:tcPr>
          <w:p w14:paraId="4459144E"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28.6 (11.4 to 48.6)</w:t>
            </w:r>
          </w:p>
        </w:tc>
        <w:tc>
          <w:tcPr>
            <w:tcW w:w="2145" w:type="dxa"/>
            <w:tcBorders>
              <w:top w:val="nil"/>
              <w:left w:val="single" w:sz="4" w:space="0" w:color="auto"/>
              <w:bottom w:val="nil"/>
              <w:right w:val="nil"/>
            </w:tcBorders>
            <w:shd w:val="clear" w:color="auto" w:fill="auto"/>
            <w:noWrap/>
            <w:vAlign w:val="bottom"/>
            <w:hideMark/>
          </w:tcPr>
          <w:p w14:paraId="286CD4FF"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5.2 (4.5 to 5.9)</w:t>
            </w:r>
          </w:p>
        </w:tc>
        <w:tc>
          <w:tcPr>
            <w:tcW w:w="2145" w:type="dxa"/>
            <w:tcBorders>
              <w:top w:val="nil"/>
              <w:left w:val="single" w:sz="4" w:space="0" w:color="auto"/>
              <w:bottom w:val="nil"/>
              <w:right w:val="nil"/>
            </w:tcBorders>
            <w:shd w:val="clear" w:color="auto" w:fill="auto"/>
            <w:noWrap/>
            <w:vAlign w:val="bottom"/>
            <w:hideMark/>
          </w:tcPr>
          <w:p w14:paraId="7233FA40"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-10.8 (-18.8 to -2.1)</w:t>
            </w:r>
          </w:p>
        </w:tc>
        <w:tc>
          <w:tcPr>
            <w:tcW w:w="2145" w:type="dxa"/>
            <w:tcBorders>
              <w:top w:val="nil"/>
              <w:left w:val="single" w:sz="4" w:space="0" w:color="auto"/>
              <w:bottom w:val="nil"/>
              <w:right w:val="single" w:sz="4" w:space="0" w:color="auto"/>
            </w:tcBorders>
            <w:shd w:val="clear" w:color="auto" w:fill="auto"/>
            <w:noWrap/>
            <w:vAlign w:val="bottom"/>
            <w:hideMark/>
          </w:tcPr>
          <w:p w14:paraId="4F144B41"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5.6 (3.8 to 7.5)</w:t>
            </w:r>
          </w:p>
        </w:tc>
      </w:tr>
      <w:tr w:rsidR="00CE46E9" w:rsidRPr="00761418" w14:paraId="3DF135EE" w14:textId="77777777" w:rsidTr="002F710F">
        <w:trPr>
          <w:trHeight w:val="288"/>
        </w:trPr>
        <w:tc>
          <w:tcPr>
            <w:tcW w:w="2145" w:type="dxa"/>
            <w:tcBorders>
              <w:top w:val="nil"/>
              <w:left w:val="single" w:sz="4" w:space="0" w:color="auto"/>
              <w:bottom w:val="nil"/>
              <w:right w:val="single" w:sz="4" w:space="0" w:color="auto"/>
            </w:tcBorders>
            <w:shd w:val="clear" w:color="auto" w:fill="auto"/>
            <w:noWrap/>
            <w:vAlign w:val="bottom"/>
            <w:hideMark/>
          </w:tcPr>
          <w:p w14:paraId="57694B03" w14:textId="77777777" w:rsidR="00CE46E9" w:rsidRPr="00761418" w:rsidRDefault="00CE46E9" w:rsidP="00917F2D">
            <w:pPr>
              <w:spacing w:after="0" w:line="240" w:lineRule="auto"/>
              <w:rPr>
                <w:rFonts w:eastAsia="Times New Roman" w:cs="Arial"/>
                <w:i/>
                <w:iCs/>
                <w:color w:val="000000"/>
                <w:szCs w:val="24"/>
              </w:rPr>
            </w:pPr>
            <w:r w:rsidRPr="00761418">
              <w:rPr>
                <w:rFonts w:eastAsia="Times New Roman" w:cs="Arial"/>
                <w:i/>
                <w:iCs/>
                <w:color w:val="000000"/>
                <w:szCs w:val="24"/>
              </w:rPr>
              <w:t> </w:t>
            </w:r>
          </w:p>
        </w:tc>
        <w:tc>
          <w:tcPr>
            <w:tcW w:w="2145" w:type="dxa"/>
            <w:tcBorders>
              <w:top w:val="nil"/>
              <w:left w:val="nil"/>
              <w:bottom w:val="nil"/>
              <w:right w:val="nil"/>
            </w:tcBorders>
            <w:shd w:val="clear" w:color="auto" w:fill="auto"/>
            <w:noWrap/>
            <w:vAlign w:val="bottom"/>
            <w:hideMark/>
          </w:tcPr>
          <w:p w14:paraId="7D6FA926"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1987 - 1999</w:t>
            </w:r>
          </w:p>
        </w:tc>
        <w:tc>
          <w:tcPr>
            <w:tcW w:w="2145" w:type="dxa"/>
            <w:tcBorders>
              <w:top w:val="nil"/>
              <w:left w:val="single" w:sz="4" w:space="0" w:color="auto"/>
              <w:bottom w:val="nil"/>
              <w:right w:val="single" w:sz="4" w:space="0" w:color="auto"/>
            </w:tcBorders>
            <w:shd w:val="clear" w:color="auto" w:fill="auto"/>
            <w:noWrap/>
            <w:vAlign w:val="bottom"/>
            <w:hideMark/>
          </w:tcPr>
          <w:p w14:paraId="3FB908B2"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1999 - 2002</w:t>
            </w:r>
          </w:p>
        </w:tc>
        <w:tc>
          <w:tcPr>
            <w:tcW w:w="2145" w:type="dxa"/>
            <w:tcBorders>
              <w:top w:val="nil"/>
              <w:left w:val="single" w:sz="4" w:space="0" w:color="auto"/>
              <w:bottom w:val="nil"/>
              <w:right w:val="nil"/>
            </w:tcBorders>
            <w:shd w:val="clear" w:color="auto" w:fill="auto"/>
            <w:noWrap/>
            <w:vAlign w:val="bottom"/>
            <w:hideMark/>
          </w:tcPr>
          <w:p w14:paraId="388F721A"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2002 - 2014</w:t>
            </w:r>
          </w:p>
        </w:tc>
        <w:tc>
          <w:tcPr>
            <w:tcW w:w="2145" w:type="dxa"/>
            <w:tcBorders>
              <w:top w:val="nil"/>
              <w:left w:val="single" w:sz="4" w:space="0" w:color="auto"/>
              <w:bottom w:val="nil"/>
              <w:right w:val="nil"/>
            </w:tcBorders>
            <w:shd w:val="clear" w:color="auto" w:fill="auto"/>
            <w:noWrap/>
            <w:vAlign w:val="bottom"/>
            <w:hideMark/>
          </w:tcPr>
          <w:p w14:paraId="72191653"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2014 - 2017</w:t>
            </w:r>
          </w:p>
        </w:tc>
        <w:tc>
          <w:tcPr>
            <w:tcW w:w="2145" w:type="dxa"/>
            <w:tcBorders>
              <w:top w:val="nil"/>
              <w:left w:val="single" w:sz="4" w:space="0" w:color="auto"/>
              <w:bottom w:val="nil"/>
              <w:right w:val="single" w:sz="4" w:space="0" w:color="auto"/>
            </w:tcBorders>
            <w:shd w:val="clear" w:color="auto" w:fill="auto"/>
            <w:noWrap/>
            <w:vAlign w:val="bottom"/>
            <w:hideMark/>
          </w:tcPr>
          <w:p w14:paraId="477A67E9"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1987 - 2017</w:t>
            </w:r>
          </w:p>
        </w:tc>
      </w:tr>
      <w:tr w:rsidR="00CE46E9" w:rsidRPr="00761418" w14:paraId="343D0E5F" w14:textId="77777777" w:rsidTr="002F710F">
        <w:trPr>
          <w:trHeight w:val="70"/>
        </w:trPr>
        <w:tc>
          <w:tcPr>
            <w:tcW w:w="2145" w:type="dxa"/>
            <w:tcBorders>
              <w:top w:val="nil"/>
              <w:left w:val="single" w:sz="4" w:space="0" w:color="auto"/>
              <w:bottom w:val="nil"/>
              <w:right w:val="single" w:sz="4" w:space="0" w:color="auto"/>
            </w:tcBorders>
            <w:shd w:val="clear" w:color="auto" w:fill="auto"/>
            <w:noWrap/>
            <w:vAlign w:val="bottom"/>
            <w:hideMark/>
          </w:tcPr>
          <w:p w14:paraId="69AEAE98" w14:textId="77777777" w:rsidR="00CE46E9" w:rsidRPr="00761418" w:rsidRDefault="00CE46E9" w:rsidP="00917F2D">
            <w:pPr>
              <w:spacing w:after="0" w:line="240" w:lineRule="auto"/>
              <w:rPr>
                <w:rFonts w:eastAsia="Times New Roman" w:cs="Arial"/>
                <w:color w:val="000000"/>
                <w:szCs w:val="24"/>
              </w:rPr>
            </w:pPr>
            <w:r w:rsidRPr="00761418">
              <w:rPr>
                <w:rFonts w:eastAsia="Times New Roman" w:cs="Arial"/>
                <w:color w:val="000000"/>
                <w:szCs w:val="24"/>
              </w:rPr>
              <w:t> </w:t>
            </w:r>
          </w:p>
        </w:tc>
        <w:tc>
          <w:tcPr>
            <w:tcW w:w="2145" w:type="dxa"/>
            <w:tcBorders>
              <w:top w:val="nil"/>
              <w:left w:val="nil"/>
              <w:bottom w:val="nil"/>
              <w:right w:val="nil"/>
            </w:tcBorders>
            <w:shd w:val="clear" w:color="auto" w:fill="auto"/>
            <w:noWrap/>
            <w:vAlign w:val="bottom"/>
            <w:hideMark/>
          </w:tcPr>
          <w:p w14:paraId="6D6CF3D4" w14:textId="77777777" w:rsidR="00CE46E9" w:rsidRPr="00761418" w:rsidRDefault="00CE46E9" w:rsidP="00917F2D">
            <w:pPr>
              <w:spacing w:after="0" w:line="240" w:lineRule="auto"/>
              <w:rPr>
                <w:rFonts w:eastAsia="Times New Roman" w:cs="Arial"/>
                <w:color w:val="000000"/>
                <w:szCs w:val="24"/>
              </w:rPr>
            </w:pPr>
          </w:p>
        </w:tc>
        <w:tc>
          <w:tcPr>
            <w:tcW w:w="2145" w:type="dxa"/>
            <w:tcBorders>
              <w:top w:val="nil"/>
              <w:left w:val="single" w:sz="4" w:space="0" w:color="auto"/>
              <w:bottom w:val="nil"/>
              <w:right w:val="single" w:sz="4" w:space="0" w:color="auto"/>
            </w:tcBorders>
            <w:shd w:val="clear" w:color="auto" w:fill="auto"/>
            <w:noWrap/>
            <w:vAlign w:val="bottom"/>
            <w:hideMark/>
          </w:tcPr>
          <w:p w14:paraId="07D2FA77"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 </w:t>
            </w:r>
          </w:p>
        </w:tc>
        <w:tc>
          <w:tcPr>
            <w:tcW w:w="2145" w:type="dxa"/>
            <w:tcBorders>
              <w:top w:val="nil"/>
              <w:left w:val="single" w:sz="4" w:space="0" w:color="auto"/>
              <w:bottom w:val="nil"/>
              <w:right w:val="nil"/>
            </w:tcBorders>
            <w:shd w:val="clear" w:color="auto" w:fill="auto"/>
            <w:noWrap/>
            <w:vAlign w:val="bottom"/>
            <w:hideMark/>
          </w:tcPr>
          <w:p w14:paraId="43DF50D1" w14:textId="77777777" w:rsidR="00CE46E9" w:rsidRPr="00761418" w:rsidRDefault="00CE46E9" w:rsidP="00917F2D">
            <w:pPr>
              <w:spacing w:after="0" w:line="240" w:lineRule="auto"/>
              <w:jc w:val="center"/>
              <w:rPr>
                <w:rFonts w:eastAsia="Times New Roman" w:cs="Arial"/>
                <w:i/>
                <w:iCs/>
                <w:color w:val="000000"/>
                <w:szCs w:val="24"/>
              </w:rPr>
            </w:pPr>
          </w:p>
        </w:tc>
        <w:tc>
          <w:tcPr>
            <w:tcW w:w="2145" w:type="dxa"/>
            <w:tcBorders>
              <w:top w:val="nil"/>
              <w:left w:val="single" w:sz="4" w:space="0" w:color="auto"/>
              <w:bottom w:val="nil"/>
              <w:right w:val="nil"/>
            </w:tcBorders>
            <w:shd w:val="clear" w:color="auto" w:fill="auto"/>
            <w:noWrap/>
            <w:vAlign w:val="bottom"/>
            <w:hideMark/>
          </w:tcPr>
          <w:p w14:paraId="692C347F"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 </w:t>
            </w:r>
          </w:p>
        </w:tc>
        <w:tc>
          <w:tcPr>
            <w:tcW w:w="2145" w:type="dxa"/>
            <w:tcBorders>
              <w:top w:val="nil"/>
              <w:left w:val="single" w:sz="4" w:space="0" w:color="auto"/>
              <w:bottom w:val="nil"/>
              <w:right w:val="single" w:sz="4" w:space="0" w:color="auto"/>
            </w:tcBorders>
            <w:shd w:val="clear" w:color="auto" w:fill="auto"/>
            <w:noWrap/>
            <w:vAlign w:val="bottom"/>
            <w:hideMark/>
          </w:tcPr>
          <w:p w14:paraId="5FE6CC6B"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 </w:t>
            </w:r>
          </w:p>
        </w:tc>
      </w:tr>
      <w:tr w:rsidR="00CE46E9" w:rsidRPr="00761418" w14:paraId="5D94375C" w14:textId="77777777" w:rsidTr="002F710F">
        <w:trPr>
          <w:trHeight w:val="68"/>
        </w:trPr>
        <w:tc>
          <w:tcPr>
            <w:tcW w:w="2145" w:type="dxa"/>
            <w:tcBorders>
              <w:top w:val="nil"/>
              <w:left w:val="single" w:sz="4" w:space="0" w:color="auto"/>
              <w:bottom w:val="nil"/>
              <w:right w:val="single" w:sz="4" w:space="0" w:color="auto"/>
            </w:tcBorders>
            <w:shd w:val="clear" w:color="auto" w:fill="auto"/>
            <w:noWrap/>
            <w:vAlign w:val="bottom"/>
            <w:hideMark/>
          </w:tcPr>
          <w:p w14:paraId="255D22C3" w14:textId="0586F5DB" w:rsidR="00CE46E9" w:rsidRPr="00761418" w:rsidRDefault="00CE46E9" w:rsidP="00917F2D">
            <w:pPr>
              <w:spacing w:after="0" w:line="240" w:lineRule="auto"/>
              <w:rPr>
                <w:rFonts w:eastAsia="Times New Roman" w:cs="Arial"/>
                <w:color w:val="000000"/>
                <w:szCs w:val="24"/>
              </w:rPr>
            </w:pPr>
            <w:r w:rsidRPr="00761418">
              <w:rPr>
                <w:rFonts w:eastAsia="Times New Roman" w:cs="Arial"/>
                <w:color w:val="000000"/>
                <w:szCs w:val="24"/>
              </w:rPr>
              <w:t>Distant</w:t>
            </w:r>
            <w:r w:rsidR="002F710F" w:rsidRPr="00761418">
              <w:rPr>
                <w:rFonts w:eastAsia="Times New Roman" w:cs="Arial"/>
                <w:color w:val="000000"/>
                <w:szCs w:val="24"/>
              </w:rPr>
              <w:t xml:space="preserve"> stage</w:t>
            </w:r>
          </w:p>
        </w:tc>
        <w:tc>
          <w:tcPr>
            <w:tcW w:w="2145" w:type="dxa"/>
            <w:tcBorders>
              <w:top w:val="nil"/>
              <w:left w:val="nil"/>
              <w:bottom w:val="nil"/>
              <w:right w:val="nil"/>
            </w:tcBorders>
            <w:shd w:val="clear" w:color="auto" w:fill="auto"/>
            <w:noWrap/>
            <w:vAlign w:val="bottom"/>
            <w:hideMark/>
          </w:tcPr>
          <w:p w14:paraId="010B5AED"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6.1 (4.6 to 7.7)</w:t>
            </w:r>
          </w:p>
        </w:tc>
        <w:tc>
          <w:tcPr>
            <w:tcW w:w="2145" w:type="dxa"/>
            <w:tcBorders>
              <w:top w:val="nil"/>
              <w:left w:val="single" w:sz="4" w:space="0" w:color="auto"/>
              <w:bottom w:val="nil"/>
              <w:right w:val="single" w:sz="4" w:space="0" w:color="auto"/>
            </w:tcBorders>
            <w:shd w:val="clear" w:color="auto" w:fill="auto"/>
            <w:noWrap/>
            <w:vAlign w:val="bottom"/>
            <w:hideMark/>
          </w:tcPr>
          <w:p w14:paraId="2BABDF89"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-10.6 (-24.3 to 5.7)</w:t>
            </w:r>
          </w:p>
        </w:tc>
        <w:tc>
          <w:tcPr>
            <w:tcW w:w="2145" w:type="dxa"/>
            <w:tcBorders>
              <w:top w:val="nil"/>
              <w:left w:val="single" w:sz="4" w:space="0" w:color="auto"/>
              <w:bottom w:val="nil"/>
              <w:right w:val="nil"/>
            </w:tcBorders>
            <w:shd w:val="clear" w:color="auto" w:fill="auto"/>
            <w:noWrap/>
            <w:vAlign w:val="bottom"/>
            <w:hideMark/>
          </w:tcPr>
          <w:p w14:paraId="7BAB4F67"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2.4 (1.5 to 3.4)</w:t>
            </w:r>
          </w:p>
        </w:tc>
        <w:tc>
          <w:tcPr>
            <w:tcW w:w="2145" w:type="dxa"/>
            <w:tcBorders>
              <w:top w:val="nil"/>
              <w:left w:val="single" w:sz="4" w:space="0" w:color="auto"/>
              <w:bottom w:val="nil"/>
              <w:right w:val="nil"/>
            </w:tcBorders>
            <w:shd w:val="clear" w:color="auto" w:fill="auto"/>
            <w:noWrap/>
            <w:vAlign w:val="bottom"/>
            <w:hideMark/>
          </w:tcPr>
          <w:p w14:paraId="76121671"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 </w:t>
            </w:r>
          </w:p>
        </w:tc>
        <w:tc>
          <w:tcPr>
            <w:tcW w:w="2145" w:type="dxa"/>
            <w:tcBorders>
              <w:top w:val="nil"/>
              <w:left w:val="single" w:sz="4" w:space="0" w:color="auto"/>
              <w:bottom w:val="nil"/>
              <w:right w:val="single" w:sz="4" w:space="0" w:color="auto"/>
            </w:tcBorders>
            <w:shd w:val="clear" w:color="auto" w:fill="auto"/>
            <w:noWrap/>
            <w:vAlign w:val="bottom"/>
            <w:hideMark/>
          </w:tcPr>
          <w:p w14:paraId="2EF3E490"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2.5 (0.7 to 4.3)</w:t>
            </w:r>
          </w:p>
        </w:tc>
      </w:tr>
      <w:tr w:rsidR="00CE46E9" w:rsidRPr="00761418" w14:paraId="4F7BA870" w14:textId="77777777" w:rsidTr="002F710F">
        <w:trPr>
          <w:trHeight w:val="288"/>
        </w:trPr>
        <w:tc>
          <w:tcPr>
            <w:tcW w:w="2145" w:type="dxa"/>
            <w:tcBorders>
              <w:top w:val="nil"/>
              <w:left w:val="single" w:sz="4" w:space="0" w:color="auto"/>
              <w:bottom w:val="nil"/>
              <w:right w:val="single" w:sz="4" w:space="0" w:color="auto"/>
            </w:tcBorders>
            <w:shd w:val="clear" w:color="auto" w:fill="auto"/>
            <w:noWrap/>
            <w:vAlign w:val="bottom"/>
            <w:hideMark/>
          </w:tcPr>
          <w:p w14:paraId="1A1CB677" w14:textId="77777777" w:rsidR="00CE46E9" w:rsidRPr="00761418" w:rsidRDefault="00CE46E9" w:rsidP="00917F2D">
            <w:pPr>
              <w:spacing w:after="0" w:line="240" w:lineRule="auto"/>
              <w:rPr>
                <w:rFonts w:eastAsia="Times New Roman" w:cs="Arial"/>
                <w:i/>
                <w:iCs/>
                <w:color w:val="000000"/>
                <w:szCs w:val="24"/>
              </w:rPr>
            </w:pPr>
            <w:r w:rsidRPr="00761418">
              <w:rPr>
                <w:rFonts w:eastAsia="Times New Roman" w:cs="Arial"/>
                <w:i/>
                <w:iCs/>
                <w:color w:val="000000"/>
                <w:szCs w:val="24"/>
              </w:rPr>
              <w:t> </w:t>
            </w:r>
          </w:p>
        </w:tc>
        <w:tc>
          <w:tcPr>
            <w:tcW w:w="2145" w:type="dxa"/>
            <w:tcBorders>
              <w:top w:val="nil"/>
              <w:left w:val="nil"/>
              <w:bottom w:val="nil"/>
              <w:right w:val="nil"/>
            </w:tcBorders>
            <w:shd w:val="clear" w:color="auto" w:fill="auto"/>
            <w:noWrap/>
            <w:vAlign w:val="bottom"/>
            <w:hideMark/>
          </w:tcPr>
          <w:p w14:paraId="5A90B83D"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1987 - 1999</w:t>
            </w:r>
          </w:p>
        </w:tc>
        <w:tc>
          <w:tcPr>
            <w:tcW w:w="2145" w:type="dxa"/>
            <w:tcBorders>
              <w:top w:val="nil"/>
              <w:left w:val="single" w:sz="4" w:space="0" w:color="auto"/>
              <w:bottom w:val="nil"/>
              <w:right w:val="single" w:sz="4" w:space="0" w:color="auto"/>
            </w:tcBorders>
            <w:shd w:val="clear" w:color="auto" w:fill="auto"/>
            <w:noWrap/>
            <w:vAlign w:val="bottom"/>
            <w:hideMark/>
          </w:tcPr>
          <w:p w14:paraId="7CF8E129"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1999 - 2002</w:t>
            </w:r>
          </w:p>
        </w:tc>
        <w:tc>
          <w:tcPr>
            <w:tcW w:w="2145" w:type="dxa"/>
            <w:tcBorders>
              <w:top w:val="nil"/>
              <w:left w:val="single" w:sz="4" w:space="0" w:color="auto"/>
              <w:bottom w:val="nil"/>
              <w:right w:val="nil"/>
            </w:tcBorders>
            <w:shd w:val="clear" w:color="auto" w:fill="auto"/>
            <w:noWrap/>
            <w:vAlign w:val="bottom"/>
            <w:hideMark/>
          </w:tcPr>
          <w:p w14:paraId="72E2DC66"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2002 - 2017</w:t>
            </w:r>
          </w:p>
        </w:tc>
        <w:tc>
          <w:tcPr>
            <w:tcW w:w="2145" w:type="dxa"/>
            <w:tcBorders>
              <w:top w:val="nil"/>
              <w:left w:val="single" w:sz="4" w:space="0" w:color="auto"/>
              <w:bottom w:val="nil"/>
              <w:right w:val="nil"/>
            </w:tcBorders>
            <w:shd w:val="clear" w:color="auto" w:fill="auto"/>
            <w:noWrap/>
            <w:vAlign w:val="bottom"/>
            <w:hideMark/>
          </w:tcPr>
          <w:p w14:paraId="042E34A9"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 </w:t>
            </w:r>
          </w:p>
        </w:tc>
        <w:tc>
          <w:tcPr>
            <w:tcW w:w="2145" w:type="dxa"/>
            <w:tcBorders>
              <w:top w:val="nil"/>
              <w:left w:val="single" w:sz="4" w:space="0" w:color="auto"/>
              <w:bottom w:val="nil"/>
              <w:right w:val="single" w:sz="4" w:space="0" w:color="auto"/>
            </w:tcBorders>
            <w:shd w:val="clear" w:color="auto" w:fill="auto"/>
            <w:noWrap/>
            <w:vAlign w:val="bottom"/>
            <w:hideMark/>
          </w:tcPr>
          <w:p w14:paraId="7BA6F7C1"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1987 - 2017</w:t>
            </w:r>
          </w:p>
        </w:tc>
      </w:tr>
      <w:tr w:rsidR="00CE46E9" w:rsidRPr="00761418" w14:paraId="054B8836" w14:textId="77777777" w:rsidTr="002F710F">
        <w:trPr>
          <w:trHeight w:val="70"/>
        </w:trPr>
        <w:tc>
          <w:tcPr>
            <w:tcW w:w="2145" w:type="dxa"/>
            <w:tcBorders>
              <w:top w:val="nil"/>
              <w:left w:val="single" w:sz="4" w:space="0" w:color="auto"/>
              <w:bottom w:val="nil"/>
              <w:right w:val="single" w:sz="4" w:space="0" w:color="auto"/>
            </w:tcBorders>
            <w:shd w:val="clear" w:color="auto" w:fill="auto"/>
            <w:noWrap/>
            <w:vAlign w:val="bottom"/>
            <w:hideMark/>
          </w:tcPr>
          <w:p w14:paraId="55F9BE4E" w14:textId="77777777" w:rsidR="00CE46E9" w:rsidRPr="00761418" w:rsidRDefault="00CE46E9" w:rsidP="00917F2D">
            <w:pPr>
              <w:spacing w:after="0" w:line="240" w:lineRule="auto"/>
              <w:rPr>
                <w:rFonts w:eastAsia="Times New Roman" w:cs="Arial"/>
                <w:color w:val="000000"/>
                <w:szCs w:val="24"/>
              </w:rPr>
            </w:pPr>
            <w:r w:rsidRPr="00761418">
              <w:rPr>
                <w:rFonts w:eastAsia="Times New Roman" w:cs="Arial"/>
                <w:color w:val="000000"/>
                <w:szCs w:val="24"/>
              </w:rPr>
              <w:t> </w:t>
            </w:r>
          </w:p>
        </w:tc>
        <w:tc>
          <w:tcPr>
            <w:tcW w:w="2145" w:type="dxa"/>
            <w:tcBorders>
              <w:top w:val="nil"/>
              <w:left w:val="nil"/>
              <w:bottom w:val="nil"/>
              <w:right w:val="nil"/>
            </w:tcBorders>
            <w:shd w:val="clear" w:color="auto" w:fill="auto"/>
            <w:noWrap/>
            <w:vAlign w:val="bottom"/>
            <w:hideMark/>
          </w:tcPr>
          <w:p w14:paraId="6906AC92" w14:textId="77777777" w:rsidR="00CE46E9" w:rsidRPr="00761418" w:rsidRDefault="00CE46E9" w:rsidP="00917F2D">
            <w:pPr>
              <w:spacing w:after="0" w:line="240" w:lineRule="auto"/>
              <w:rPr>
                <w:rFonts w:eastAsia="Times New Roman" w:cs="Arial"/>
                <w:color w:val="000000"/>
                <w:szCs w:val="24"/>
              </w:rPr>
            </w:pPr>
          </w:p>
        </w:tc>
        <w:tc>
          <w:tcPr>
            <w:tcW w:w="2145" w:type="dxa"/>
            <w:tcBorders>
              <w:top w:val="nil"/>
              <w:left w:val="single" w:sz="4" w:space="0" w:color="auto"/>
              <w:bottom w:val="nil"/>
              <w:right w:val="single" w:sz="4" w:space="0" w:color="auto"/>
            </w:tcBorders>
            <w:shd w:val="clear" w:color="auto" w:fill="auto"/>
            <w:noWrap/>
            <w:vAlign w:val="bottom"/>
            <w:hideMark/>
          </w:tcPr>
          <w:p w14:paraId="40174F01"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 </w:t>
            </w:r>
          </w:p>
        </w:tc>
        <w:tc>
          <w:tcPr>
            <w:tcW w:w="2145" w:type="dxa"/>
            <w:tcBorders>
              <w:top w:val="nil"/>
              <w:left w:val="single" w:sz="4" w:space="0" w:color="auto"/>
              <w:bottom w:val="nil"/>
              <w:right w:val="nil"/>
            </w:tcBorders>
            <w:shd w:val="clear" w:color="auto" w:fill="auto"/>
            <w:noWrap/>
            <w:vAlign w:val="bottom"/>
            <w:hideMark/>
          </w:tcPr>
          <w:p w14:paraId="593EBDC4" w14:textId="77777777" w:rsidR="00CE46E9" w:rsidRPr="00761418" w:rsidRDefault="00CE46E9" w:rsidP="00917F2D">
            <w:pPr>
              <w:spacing w:after="0" w:line="240" w:lineRule="auto"/>
              <w:jc w:val="center"/>
              <w:rPr>
                <w:rFonts w:eastAsia="Times New Roman" w:cs="Arial"/>
                <w:i/>
                <w:iCs/>
                <w:color w:val="000000"/>
                <w:szCs w:val="24"/>
              </w:rPr>
            </w:pPr>
          </w:p>
        </w:tc>
        <w:tc>
          <w:tcPr>
            <w:tcW w:w="2145" w:type="dxa"/>
            <w:tcBorders>
              <w:top w:val="nil"/>
              <w:left w:val="single" w:sz="4" w:space="0" w:color="auto"/>
              <w:bottom w:val="nil"/>
              <w:right w:val="nil"/>
            </w:tcBorders>
            <w:shd w:val="clear" w:color="auto" w:fill="auto"/>
            <w:noWrap/>
            <w:vAlign w:val="bottom"/>
            <w:hideMark/>
          </w:tcPr>
          <w:p w14:paraId="5702F154"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 </w:t>
            </w:r>
          </w:p>
        </w:tc>
        <w:tc>
          <w:tcPr>
            <w:tcW w:w="2145" w:type="dxa"/>
            <w:tcBorders>
              <w:top w:val="nil"/>
              <w:left w:val="single" w:sz="4" w:space="0" w:color="auto"/>
              <w:bottom w:val="nil"/>
              <w:right w:val="single" w:sz="4" w:space="0" w:color="auto"/>
            </w:tcBorders>
            <w:shd w:val="clear" w:color="auto" w:fill="auto"/>
            <w:noWrap/>
            <w:vAlign w:val="bottom"/>
            <w:hideMark/>
          </w:tcPr>
          <w:p w14:paraId="26F0F74A"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 </w:t>
            </w:r>
          </w:p>
        </w:tc>
      </w:tr>
      <w:tr w:rsidR="00CE46E9" w:rsidRPr="00761418" w14:paraId="259D2D1C" w14:textId="77777777" w:rsidTr="002F710F">
        <w:trPr>
          <w:trHeight w:val="68"/>
        </w:trPr>
        <w:tc>
          <w:tcPr>
            <w:tcW w:w="2145" w:type="dxa"/>
            <w:tcBorders>
              <w:top w:val="nil"/>
              <w:left w:val="single" w:sz="4" w:space="0" w:color="auto"/>
              <w:right w:val="single" w:sz="4" w:space="0" w:color="auto"/>
            </w:tcBorders>
            <w:shd w:val="clear" w:color="auto" w:fill="auto"/>
            <w:noWrap/>
            <w:vAlign w:val="bottom"/>
            <w:hideMark/>
          </w:tcPr>
          <w:p w14:paraId="3DB5272E" w14:textId="77777777" w:rsidR="00CE46E9" w:rsidRPr="00761418" w:rsidRDefault="00CE46E9" w:rsidP="00917F2D">
            <w:pPr>
              <w:spacing w:after="0" w:line="240" w:lineRule="auto"/>
              <w:rPr>
                <w:rFonts w:eastAsia="Times New Roman" w:cs="Arial"/>
                <w:color w:val="000000"/>
                <w:szCs w:val="24"/>
              </w:rPr>
            </w:pPr>
            <w:r w:rsidRPr="00761418">
              <w:rPr>
                <w:rFonts w:eastAsia="Times New Roman" w:cs="Arial"/>
                <w:color w:val="000000"/>
                <w:szCs w:val="24"/>
              </w:rPr>
              <w:t>Unstaged</w:t>
            </w:r>
          </w:p>
        </w:tc>
        <w:tc>
          <w:tcPr>
            <w:tcW w:w="2145" w:type="dxa"/>
            <w:tcBorders>
              <w:top w:val="nil"/>
              <w:left w:val="nil"/>
              <w:right w:val="nil"/>
            </w:tcBorders>
            <w:shd w:val="clear" w:color="auto" w:fill="auto"/>
            <w:noWrap/>
            <w:vAlign w:val="bottom"/>
            <w:hideMark/>
          </w:tcPr>
          <w:p w14:paraId="69ACE5F4"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0.7 (-0.4 to 1.8)</w:t>
            </w:r>
          </w:p>
        </w:tc>
        <w:tc>
          <w:tcPr>
            <w:tcW w:w="2145" w:type="dxa"/>
            <w:tcBorders>
              <w:top w:val="nil"/>
              <w:left w:val="single" w:sz="4" w:space="0" w:color="auto"/>
              <w:right w:val="single" w:sz="4" w:space="0" w:color="auto"/>
            </w:tcBorders>
            <w:shd w:val="clear" w:color="auto" w:fill="auto"/>
            <w:noWrap/>
            <w:vAlign w:val="bottom"/>
            <w:hideMark/>
          </w:tcPr>
          <w:p w14:paraId="28FE9E1B"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-12.2 (-20.9 to -2.6)</w:t>
            </w:r>
          </w:p>
        </w:tc>
        <w:tc>
          <w:tcPr>
            <w:tcW w:w="2145" w:type="dxa"/>
            <w:tcBorders>
              <w:top w:val="nil"/>
              <w:left w:val="single" w:sz="4" w:space="0" w:color="auto"/>
              <w:right w:val="nil"/>
            </w:tcBorders>
            <w:shd w:val="clear" w:color="auto" w:fill="auto"/>
            <w:noWrap/>
            <w:vAlign w:val="bottom"/>
            <w:hideMark/>
          </w:tcPr>
          <w:p w14:paraId="4B042AD4"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1.9 (-0.2 to 4.1)</w:t>
            </w:r>
          </w:p>
        </w:tc>
        <w:tc>
          <w:tcPr>
            <w:tcW w:w="2145" w:type="dxa"/>
            <w:tcBorders>
              <w:top w:val="nil"/>
              <w:left w:val="single" w:sz="4" w:space="0" w:color="auto"/>
              <w:right w:val="nil"/>
            </w:tcBorders>
            <w:shd w:val="clear" w:color="auto" w:fill="auto"/>
            <w:noWrap/>
            <w:vAlign w:val="bottom"/>
            <w:hideMark/>
          </w:tcPr>
          <w:p w14:paraId="79EBE99E"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 </w:t>
            </w:r>
          </w:p>
        </w:tc>
        <w:tc>
          <w:tcPr>
            <w:tcW w:w="2145" w:type="dxa"/>
            <w:tcBorders>
              <w:top w:val="nil"/>
              <w:left w:val="single" w:sz="4" w:space="0" w:color="auto"/>
              <w:right w:val="single" w:sz="4" w:space="0" w:color="auto"/>
            </w:tcBorders>
            <w:shd w:val="clear" w:color="auto" w:fill="auto"/>
            <w:noWrap/>
            <w:vAlign w:val="bottom"/>
            <w:hideMark/>
          </w:tcPr>
          <w:p w14:paraId="6A6E5419"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0.7 (-2.3 to 0.9)</w:t>
            </w:r>
          </w:p>
        </w:tc>
      </w:tr>
      <w:tr w:rsidR="00CE46E9" w:rsidRPr="00761418" w14:paraId="7140B20B" w14:textId="77777777" w:rsidTr="002F710F">
        <w:trPr>
          <w:trHeight w:val="288"/>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14:paraId="19D83F79" w14:textId="77777777" w:rsidR="00CE46E9" w:rsidRPr="00761418" w:rsidRDefault="00CE46E9" w:rsidP="00917F2D">
            <w:pPr>
              <w:spacing w:after="0" w:line="240" w:lineRule="auto"/>
              <w:rPr>
                <w:rFonts w:eastAsia="Times New Roman" w:cs="Arial"/>
                <w:i/>
                <w:iCs/>
                <w:color w:val="000000"/>
                <w:szCs w:val="24"/>
              </w:rPr>
            </w:pPr>
            <w:r w:rsidRPr="00761418">
              <w:rPr>
                <w:rFonts w:eastAsia="Times New Roman" w:cs="Arial"/>
                <w:i/>
                <w:iCs/>
                <w:color w:val="000000"/>
                <w:szCs w:val="24"/>
              </w:rPr>
              <w:t> </w:t>
            </w:r>
          </w:p>
        </w:tc>
        <w:tc>
          <w:tcPr>
            <w:tcW w:w="2145" w:type="dxa"/>
            <w:tcBorders>
              <w:top w:val="nil"/>
              <w:left w:val="nil"/>
              <w:bottom w:val="single" w:sz="4" w:space="0" w:color="auto"/>
              <w:right w:val="nil"/>
            </w:tcBorders>
            <w:shd w:val="clear" w:color="auto" w:fill="auto"/>
            <w:noWrap/>
            <w:vAlign w:val="bottom"/>
            <w:hideMark/>
          </w:tcPr>
          <w:p w14:paraId="1807D68F"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1987 - 2002</w:t>
            </w:r>
          </w:p>
        </w:tc>
        <w:tc>
          <w:tcPr>
            <w:tcW w:w="2145" w:type="dxa"/>
            <w:tcBorders>
              <w:top w:val="nil"/>
              <w:left w:val="single" w:sz="4" w:space="0" w:color="auto"/>
              <w:bottom w:val="single" w:sz="4" w:space="0" w:color="auto"/>
              <w:right w:val="single" w:sz="4" w:space="0" w:color="auto"/>
            </w:tcBorders>
            <w:shd w:val="clear" w:color="auto" w:fill="auto"/>
            <w:noWrap/>
            <w:vAlign w:val="bottom"/>
            <w:hideMark/>
          </w:tcPr>
          <w:p w14:paraId="7FBED801"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2002 - 2006</w:t>
            </w:r>
          </w:p>
        </w:tc>
        <w:tc>
          <w:tcPr>
            <w:tcW w:w="2145" w:type="dxa"/>
            <w:tcBorders>
              <w:top w:val="nil"/>
              <w:left w:val="single" w:sz="4" w:space="0" w:color="auto"/>
              <w:bottom w:val="single" w:sz="4" w:space="0" w:color="auto"/>
              <w:right w:val="nil"/>
            </w:tcBorders>
            <w:shd w:val="clear" w:color="auto" w:fill="auto"/>
            <w:noWrap/>
            <w:vAlign w:val="bottom"/>
            <w:hideMark/>
          </w:tcPr>
          <w:p w14:paraId="57719712"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2006 - 2017</w:t>
            </w:r>
          </w:p>
        </w:tc>
        <w:tc>
          <w:tcPr>
            <w:tcW w:w="2145" w:type="dxa"/>
            <w:tcBorders>
              <w:top w:val="nil"/>
              <w:left w:val="single" w:sz="4" w:space="0" w:color="auto"/>
              <w:bottom w:val="single" w:sz="4" w:space="0" w:color="auto"/>
              <w:right w:val="nil"/>
            </w:tcBorders>
            <w:shd w:val="clear" w:color="auto" w:fill="auto"/>
            <w:noWrap/>
            <w:vAlign w:val="bottom"/>
            <w:hideMark/>
          </w:tcPr>
          <w:p w14:paraId="3BBD7F5B"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 </w:t>
            </w:r>
          </w:p>
        </w:tc>
        <w:tc>
          <w:tcPr>
            <w:tcW w:w="2145" w:type="dxa"/>
            <w:tcBorders>
              <w:top w:val="nil"/>
              <w:left w:val="single" w:sz="4" w:space="0" w:color="auto"/>
              <w:bottom w:val="single" w:sz="4" w:space="0" w:color="auto"/>
              <w:right w:val="single" w:sz="4" w:space="0" w:color="auto"/>
            </w:tcBorders>
            <w:shd w:val="clear" w:color="auto" w:fill="auto"/>
            <w:noWrap/>
            <w:vAlign w:val="bottom"/>
            <w:hideMark/>
          </w:tcPr>
          <w:p w14:paraId="6FCB9C86"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1987 - 2017</w:t>
            </w:r>
          </w:p>
        </w:tc>
      </w:tr>
      <w:tr w:rsidR="00CE46E9" w:rsidRPr="00761418" w14:paraId="7E25B649" w14:textId="77777777" w:rsidTr="002F710F">
        <w:trPr>
          <w:trHeight w:val="344"/>
        </w:trPr>
        <w:tc>
          <w:tcPr>
            <w:tcW w:w="2145" w:type="dxa"/>
            <w:tcBorders>
              <w:top w:val="single" w:sz="4" w:space="0" w:color="auto"/>
              <w:left w:val="single" w:sz="4" w:space="0" w:color="auto"/>
              <w:bottom w:val="nil"/>
              <w:right w:val="single" w:sz="4" w:space="0" w:color="auto"/>
            </w:tcBorders>
            <w:shd w:val="clear" w:color="auto" w:fill="auto"/>
            <w:noWrap/>
            <w:vAlign w:val="center"/>
            <w:hideMark/>
          </w:tcPr>
          <w:p w14:paraId="255F73AB" w14:textId="77777777" w:rsidR="00CE46E9" w:rsidRPr="00761418" w:rsidRDefault="00CE46E9" w:rsidP="00917F2D">
            <w:pPr>
              <w:spacing w:after="0" w:line="240" w:lineRule="auto"/>
              <w:rPr>
                <w:rFonts w:eastAsia="Times New Roman" w:cs="Arial"/>
                <w:b/>
                <w:color w:val="000000"/>
                <w:szCs w:val="24"/>
              </w:rPr>
            </w:pPr>
            <w:r w:rsidRPr="00761418">
              <w:rPr>
                <w:rFonts w:eastAsia="Times New Roman" w:cs="Arial"/>
                <w:b/>
                <w:color w:val="000000"/>
                <w:szCs w:val="24"/>
              </w:rPr>
              <w:t>IBM rate</w:t>
            </w:r>
          </w:p>
        </w:tc>
        <w:tc>
          <w:tcPr>
            <w:tcW w:w="2145" w:type="dxa"/>
            <w:tcBorders>
              <w:top w:val="single" w:sz="4" w:space="0" w:color="auto"/>
              <w:left w:val="nil"/>
              <w:bottom w:val="nil"/>
              <w:right w:val="nil"/>
            </w:tcBorders>
            <w:shd w:val="clear" w:color="auto" w:fill="auto"/>
            <w:noWrap/>
            <w:vAlign w:val="bottom"/>
            <w:hideMark/>
          </w:tcPr>
          <w:p w14:paraId="59E51FB1" w14:textId="77777777" w:rsidR="00CE46E9" w:rsidRPr="00761418" w:rsidRDefault="00CE46E9" w:rsidP="00917F2D">
            <w:pPr>
              <w:spacing w:after="0" w:line="240" w:lineRule="auto"/>
              <w:rPr>
                <w:rFonts w:eastAsia="Times New Roman" w:cs="Arial"/>
                <w:b/>
                <w:color w:val="000000"/>
                <w:szCs w:val="24"/>
              </w:rPr>
            </w:pPr>
          </w:p>
        </w:tc>
        <w:tc>
          <w:tcPr>
            <w:tcW w:w="2145" w:type="dxa"/>
            <w:tcBorders>
              <w:top w:val="single" w:sz="4" w:space="0" w:color="auto"/>
              <w:left w:val="single" w:sz="4" w:space="0" w:color="auto"/>
              <w:bottom w:val="nil"/>
              <w:right w:val="single" w:sz="4" w:space="0" w:color="auto"/>
            </w:tcBorders>
            <w:shd w:val="clear" w:color="auto" w:fill="auto"/>
            <w:noWrap/>
            <w:vAlign w:val="bottom"/>
            <w:hideMark/>
          </w:tcPr>
          <w:p w14:paraId="45FDA876" w14:textId="77777777" w:rsidR="00CE46E9" w:rsidRPr="00761418" w:rsidRDefault="00CE46E9" w:rsidP="00917F2D">
            <w:pPr>
              <w:spacing w:after="0" w:line="240" w:lineRule="auto"/>
              <w:jc w:val="center"/>
              <w:rPr>
                <w:rFonts w:eastAsia="Times New Roman" w:cs="Arial"/>
                <w:b/>
                <w:color w:val="000000"/>
                <w:szCs w:val="24"/>
              </w:rPr>
            </w:pPr>
            <w:r w:rsidRPr="00761418">
              <w:rPr>
                <w:rFonts w:eastAsia="Times New Roman" w:cs="Arial"/>
                <w:b/>
                <w:color w:val="000000"/>
                <w:szCs w:val="24"/>
              </w:rPr>
              <w:t> </w:t>
            </w:r>
          </w:p>
        </w:tc>
        <w:tc>
          <w:tcPr>
            <w:tcW w:w="2145" w:type="dxa"/>
            <w:tcBorders>
              <w:top w:val="single" w:sz="4" w:space="0" w:color="auto"/>
              <w:left w:val="single" w:sz="4" w:space="0" w:color="auto"/>
              <w:bottom w:val="nil"/>
              <w:right w:val="nil"/>
            </w:tcBorders>
            <w:shd w:val="clear" w:color="auto" w:fill="auto"/>
            <w:noWrap/>
            <w:vAlign w:val="bottom"/>
            <w:hideMark/>
          </w:tcPr>
          <w:p w14:paraId="2F348492" w14:textId="77777777" w:rsidR="00CE46E9" w:rsidRPr="00761418" w:rsidRDefault="00CE46E9" w:rsidP="00917F2D">
            <w:pPr>
              <w:spacing w:after="0" w:line="240" w:lineRule="auto"/>
              <w:jc w:val="center"/>
              <w:rPr>
                <w:rFonts w:eastAsia="Times New Roman" w:cs="Arial"/>
                <w:b/>
                <w:color w:val="000000"/>
                <w:szCs w:val="24"/>
              </w:rPr>
            </w:pPr>
          </w:p>
        </w:tc>
        <w:tc>
          <w:tcPr>
            <w:tcW w:w="2145" w:type="dxa"/>
            <w:tcBorders>
              <w:top w:val="single" w:sz="4" w:space="0" w:color="auto"/>
              <w:left w:val="single" w:sz="4" w:space="0" w:color="auto"/>
              <w:bottom w:val="nil"/>
              <w:right w:val="single" w:sz="4" w:space="0" w:color="auto"/>
            </w:tcBorders>
            <w:shd w:val="clear" w:color="auto" w:fill="auto"/>
            <w:noWrap/>
            <w:vAlign w:val="bottom"/>
            <w:hideMark/>
          </w:tcPr>
          <w:p w14:paraId="0CCE9661" w14:textId="77777777" w:rsidR="00CE46E9" w:rsidRPr="00761418" w:rsidRDefault="00CE46E9" w:rsidP="00917F2D">
            <w:pPr>
              <w:spacing w:after="0" w:line="240" w:lineRule="auto"/>
              <w:jc w:val="center"/>
              <w:rPr>
                <w:rFonts w:eastAsia="Times New Roman" w:cs="Arial"/>
                <w:b/>
                <w:color w:val="000000"/>
                <w:szCs w:val="24"/>
              </w:rPr>
            </w:pPr>
            <w:r w:rsidRPr="00761418">
              <w:rPr>
                <w:rFonts w:eastAsia="Times New Roman" w:cs="Arial"/>
                <w:b/>
                <w:color w:val="000000"/>
                <w:szCs w:val="24"/>
              </w:rPr>
              <w:t> </w:t>
            </w:r>
          </w:p>
        </w:tc>
        <w:tc>
          <w:tcPr>
            <w:tcW w:w="2145" w:type="dxa"/>
            <w:tcBorders>
              <w:top w:val="single" w:sz="4" w:space="0" w:color="auto"/>
              <w:left w:val="single" w:sz="4" w:space="0" w:color="auto"/>
              <w:bottom w:val="nil"/>
              <w:right w:val="single" w:sz="4" w:space="0" w:color="auto"/>
            </w:tcBorders>
            <w:shd w:val="clear" w:color="auto" w:fill="auto"/>
            <w:noWrap/>
            <w:vAlign w:val="bottom"/>
            <w:hideMark/>
          </w:tcPr>
          <w:p w14:paraId="6C6BC9B3" w14:textId="77777777" w:rsidR="00CE46E9" w:rsidRPr="00761418" w:rsidRDefault="00CE46E9" w:rsidP="00917F2D">
            <w:pPr>
              <w:spacing w:after="0" w:line="240" w:lineRule="auto"/>
              <w:jc w:val="center"/>
              <w:rPr>
                <w:rFonts w:eastAsia="Times New Roman" w:cs="Arial"/>
                <w:b/>
                <w:color w:val="000000"/>
                <w:szCs w:val="24"/>
              </w:rPr>
            </w:pPr>
            <w:r w:rsidRPr="00761418">
              <w:rPr>
                <w:rFonts w:eastAsia="Times New Roman" w:cs="Arial"/>
                <w:b/>
                <w:color w:val="000000"/>
                <w:szCs w:val="24"/>
              </w:rPr>
              <w:t> </w:t>
            </w:r>
          </w:p>
        </w:tc>
      </w:tr>
      <w:tr w:rsidR="00CE46E9" w:rsidRPr="00761418" w14:paraId="5D17E44B" w14:textId="77777777" w:rsidTr="002F710F">
        <w:trPr>
          <w:trHeight w:val="111"/>
        </w:trPr>
        <w:tc>
          <w:tcPr>
            <w:tcW w:w="2145" w:type="dxa"/>
            <w:tcBorders>
              <w:top w:val="nil"/>
              <w:left w:val="single" w:sz="4" w:space="0" w:color="auto"/>
              <w:bottom w:val="nil"/>
              <w:right w:val="single" w:sz="4" w:space="0" w:color="auto"/>
            </w:tcBorders>
            <w:shd w:val="clear" w:color="auto" w:fill="auto"/>
            <w:noWrap/>
            <w:vAlign w:val="bottom"/>
            <w:hideMark/>
          </w:tcPr>
          <w:p w14:paraId="07CEFBD8" w14:textId="77777777" w:rsidR="00CE46E9" w:rsidRPr="00761418" w:rsidRDefault="00CE46E9" w:rsidP="00917F2D">
            <w:pPr>
              <w:spacing w:after="0" w:line="240" w:lineRule="auto"/>
              <w:rPr>
                <w:rFonts w:eastAsia="Times New Roman" w:cs="Arial"/>
                <w:color w:val="000000"/>
                <w:szCs w:val="24"/>
              </w:rPr>
            </w:pPr>
            <w:r w:rsidRPr="00761418">
              <w:rPr>
                <w:rFonts w:eastAsia="Times New Roman" w:cs="Arial"/>
                <w:color w:val="000000"/>
                <w:szCs w:val="24"/>
              </w:rPr>
              <w:t>Overall</w:t>
            </w:r>
          </w:p>
        </w:tc>
        <w:tc>
          <w:tcPr>
            <w:tcW w:w="2145" w:type="dxa"/>
            <w:tcBorders>
              <w:top w:val="nil"/>
              <w:left w:val="nil"/>
              <w:bottom w:val="nil"/>
              <w:right w:val="nil"/>
            </w:tcBorders>
            <w:shd w:val="clear" w:color="auto" w:fill="auto"/>
            <w:noWrap/>
            <w:vAlign w:val="bottom"/>
            <w:hideMark/>
          </w:tcPr>
          <w:p w14:paraId="2AA0418C"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17.0 (1.7 to 34.6)</w:t>
            </w:r>
          </w:p>
        </w:tc>
        <w:tc>
          <w:tcPr>
            <w:tcW w:w="2145" w:type="dxa"/>
            <w:tcBorders>
              <w:top w:val="nil"/>
              <w:left w:val="single" w:sz="4" w:space="0" w:color="auto"/>
              <w:bottom w:val="nil"/>
              <w:right w:val="single" w:sz="4" w:space="0" w:color="auto"/>
            </w:tcBorders>
            <w:shd w:val="clear" w:color="auto" w:fill="auto"/>
            <w:noWrap/>
            <w:vAlign w:val="bottom"/>
            <w:hideMark/>
          </w:tcPr>
          <w:p w14:paraId="60FF548D"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3.2 (3.0 to 3.4)</w:t>
            </w:r>
          </w:p>
        </w:tc>
        <w:tc>
          <w:tcPr>
            <w:tcW w:w="2145" w:type="dxa"/>
            <w:tcBorders>
              <w:top w:val="nil"/>
              <w:left w:val="single" w:sz="4" w:space="0" w:color="auto"/>
              <w:bottom w:val="nil"/>
              <w:right w:val="nil"/>
            </w:tcBorders>
            <w:shd w:val="clear" w:color="auto" w:fill="auto"/>
            <w:noWrap/>
            <w:vAlign w:val="bottom"/>
            <w:hideMark/>
          </w:tcPr>
          <w:p w14:paraId="3E5B8402"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-7.1 (-12.1 to -1.7)</w:t>
            </w:r>
          </w:p>
        </w:tc>
        <w:tc>
          <w:tcPr>
            <w:tcW w:w="2145" w:type="dxa"/>
            <w:tcBorders>
              <w:top w:val="nil"/>
              <w:left w:val="single" w:sz="4" w:space="0" w:color="auto"/>
              <w:bottom w:val="nil"/>
              <w:right w:val="nil"/>
            </w:tcBorders>
            <w:shd w:val="clear" w:color="auto" w:fill="auto"/>
            <w:noWrap/>
            <w:vAlign w:val="bottom"/>
            <w:hideMark/>
          </w:tcPr>
          <w:p w14:paraId="57E411F3"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 </w:t>
            </w:r>
          </w:p>
        </w:tc>
        <w:tc>
          <w:tcPr>
            <w:tcW w:w="2145" w:type="dxa"/>
            <w:tcBorders>
              <w:top w:val="nil"/>
              <w:left w:val="single" w:sz="4" w:space="0" w:color="auto"/>
              <w:bottom w:val="nil"/>
              <w:right w:val="single" w:sz="4" w:space="0" w:color="auto"/>
            </w:tcBorders>
            <w:shd w:val="clear" w:color="auto" w:fill="auto"/>
            <w:noWrap/>
            <w:vAlign w:val="bottom"/>
            <w:hideMark/>
          </w:tcPr>
          <w:p w14:paraId="63916D38"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2.9 (1.7 to 4.2)</w:t>
            </w:r>
          </w:p>
        </w:tc>
      </w:tr>
      <w:tr w:rsidR="00CE46E9" w:rsidRPr="00761418" w14:paraId="46838ACE" w14:textId="77777777" w:rsidTr="002F710F">
        <w:trPr>
          <w:trHeight w:val="288"/>
        </w:trPr>
        <w:tc>
          <w:tcPr>
            <w:tcW w:w="2145" w:type="dxa"/>
            <w:tcBorders>
              <w:top w:val="nil"/>
              <w:left w:val="single" w:sz="4" w:space="0" w:color="auto"/>
              <w:bottom w:val="nil"/>
              <w:right w:val="single" w:sz="4" w:space="0" w:color="auto"/>
            </w:tcBorders>
            <w:shd w:val="clear" w:color="auto" w:fill="auto"/>
            <w:noWrap/>
            <w:vAlign w:val="bottom"/>
            <w:hideMark/>
          </w:tcPr>
          <w:p w14:paraId="789E011C" w14:textId="77777777" w:rsidR="00CE46E9" w:rsidRPr="00761418" w:rsidRDefault="00CE46E9" w:rsidP="00917F2D">
            <w:pPr>
              <w:spacing w:after="0" w:line="240" w:lineRule="auto"/>
              <w:rPr>
                <w:rFonts w:eastAsia="Times New Roman" w:cs="Arial"/>
                <w:i/>
                <w:iCs/>
                <w:color w:val="000000"/>
                <w:szCs w:val="24"/>
              </w:rPr>
            </w:pPr>
            <w:r w:rsidRPr="00761418">
              <w:rPr>
                <w:rFonts w:eastAsia="Times New Roman" w:cs="Arial"/>
                <w:i/>
                <w:iCs/>
                <w:color w:val="000000"/>
                <w:szCs w:val="24"/>
              </w:rPr>
              <w:t> </w:t>
            </w:r>
          </w:p>
        </w:tc>
        <w:tc>
          <w:tcPr>
            <w:tcW w:w="2145" w:type="dxa"/>
            <w:tcBorders>
              <w:top w:val="nil"/>
              <w:left w:val="nil"/>
              <w:bottom w:val="nil"/>
              <w:right w:val="nil"/>
            </w:tcBorders>
            <w:shd w:val="clear" w:color="auto" w:fill="auto"/>
            <w:noWrap/>
            <w:vAlign w:val="bottom"/>
            <w:hideMark/>
          </w:tcPr>
          <w:p w14:paraId="609D96A4"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1991 - 1993</w:t>
            </w:r>
          </w:p>
        </w:tc>
        <w:tc>
          <w:tcPr>
            <w:tcW w:w="2145" w:type="dxa"/>
            <w:tcBorders>
              <w:top w:val="nil"/>
              <w:left w:val="single" w:sz="4" w:space="0" w:color="auto"/>
              <w:bottom w:val="nil"/>
              <w:right w:val="single" w:sz="4" w:space="0" w:color="auto"/>
            </w:tcBorders>
            <w:shd w:val="clear" w:color="auto" w:fill="auto"/>
            <w:noWrap/>
            <w:vAlign w:val="bottom"/>
            <w:hideMark/>
          </w:tcPr>
          <w:p w14:paraId="18A8FB01"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1993 - 2014</w:t>
            </w:r>
          </w:p>
        </w:tc>
        <w:tc>
          <w:tcPr>
            <w:tcW w:w="2145" w:type="dxa"/>
            <w:tcBorders>
              <w:top w:val="nil"/>
              <w:left w:val="single" w:sz="4" w:space="0" w:color="auto"/>
              <w:bottom w:val="nil"/>
              <w:right w:val="nil"/>
            </w:tcBorders>
            <w:shd w:val="clear" w:color="auto" w:fill="auto"/>
            <w:noWrap/>
            <w:vAlign w:val="bottom"/>
            <w:hideMark/>
          </w:tcPr>
          <w:p w14:paraId="25B21EA5"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2014 - 2017</w:t>
            </w:r>
          </w:p>
        </w:tc>
        <w:tc>
          <w:tcPr>
            <w:tcW w:w="2145" w:type="dxa"/>
            <w:tcBorders>
              <w:top w:val="nil"/>
              <w:left w:val="single" w:sz="4" w:space="0" w:color="auto"/>
              <w:bottom w:val="nil"/>
              <w:right w:val="nil"/>
            </w:tcBorders>
            <w:shd w:val="clear" w:color="auto" w:fill="auto"/>
            <w:noWrap/>
            <w:vAlign w:val="bottom"/>
            <w:hideMark/>
          </w:tcPr>
          <w:p w14:paraId="3D4E6C25"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 </w:t>
            </w:r>
          </w:p>
        </w:tc>
        <w:tc>
          <w:tcPr>
            <w:tcW w:w="2145" w:type="dxa"/>
            <w:tcBorders>
              <w:top w:val="nil"/>
              <w:left w:val="single" w:sz="4" w:space="0" w:color="auto"/>
              <w:bottom w:val="nil"/>
              <w:right w:val="single" w:sz="4" w:space="0" w:color="auto"/>
            </w:tcBorders>
            <w:shd w:val="clear" w:color="auto" w:fill="auto"/>
            <w:noWrap/>
            <w:vAlign w:val="bottom"/>
            <w:hideMark/>
          </w:tcPr>
          <w:p w14:paraId="049796DF"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1991 - 2017</w:t>
            </w:r>
          </w:p>
        </w:tc>
      </w:tr>
      <w:tr w:rsidR="00CE46E9" w:rsidRPr="00761418" w14:paraId="51132CCE" w14:textId="77777777" w:rsidTr="002F710F">
        <w:trPr>
          <w:trHeight w:val="70"/>
        </w:trPr>
        <w:tc>
          <w:tcPr>
            <w:tcW w:w="2145" w:type="dxa"/>
            <w:tcBorders>
              <w:top w:val="nil"/>
              <w:left w:val="single" w:sz="4" w:space="0" w:color="auto"/>
              <w:bottom w:val="nil"/>
              <w:right w:val="single" w:sz="4" w:space="0" w:color="auto"/>
            </w:tcBorders>
            <w:shd w:val="clear" w:color="auto" w:fill="auto"/>
            <w:noWrap/>
            <w:vAlign w:val="bottom"/>
            <w:hideMark/>
          </w:tcPr>
          <w:p w14:paraId="3F70D79A" w14:textId="77777777" w:rsidR="00CE46E9" w:rsidRPr="00761418" w:rsidRDefault="00CE46E9" w:rsidP="00917F2D">
            <w:pPr>
              <w:spacing w:after="0" w:line="240" w:lineRule="auto"/>
              <w:rPr>
                <w:rFonts w:eastAsia="Times New Roman" w:cs="Arial"/>
                <w:color w:val="000000"/>
                <w:szCs w:val="24"/>
              </w:rPr>
            </w:pPr>
            <w:r w:rsidRPr="00761418">
              <w:rPr>
                <w:rFonts w:eastAsia="Times New Roman" w:cs="Arial"/>
                <w:color w:val="000000"/>
                <w:szCs w:val="24"/>
              </w:rPr>
              <w:t> </w:t>
            </w:r>
          </w:p>
        </w:tc>
        <w:tc>
          <w:tcPr>
            <w:tcW w:w="2145" w:type="dxa"/>
            <w:tcBorders>
              <w:top w:val="nil"/>
              <w:left w:val="nil"/>
              <w:bottom w:val="nil"/>
              <w:right w:val="nil"/>
            </w:tcBorders>
            <w:shd w:val="clear" w:color="auto" w:fill="auto"/>
            <w:noWrap/>
            <w:vAlign w:val="bottom"/>
            <w:hideMark/>
          </w:tcPr>
          <w:p w14:paraId="670C15D2" w14:textId="77777777" w:rsidR="00CE46E9" w:rsidRPr="00761418" w:rsidRDefault="00CE46E9" w:rsidP="00917F2D">
            <w:pPr>
              <w:spacing w:after="0" w:line="240" w:lineRule="auto"/>
              <w:rPr>
                <w:rFonts w:eastAsia="Times New Roman" w:cs="Arial"/>
                <w:color w:val="000000"/>
                <w:szCs w:val="24"/>
              </w:rPr>
            </w:pPr>
          </w:p>
        </w:tc>
        <w:tc>
          <w:tcPr>
            <w:tcW w:w="2145" w:type="dxa"/>
            <w:tcBorders>
              <w:top w:val="nil"/>
              <w:left w:val="single" w:sz="4" w:space="0" w:color="auto"/>
              <w:bottom w:val="nil"/>
              <w:right w:val="single" w:sz="4" w:space="0" w:color="auto"/>
            </w:tcBorders>
            <w:shd w:val="clear" w:color="auto" w:fill="auto"/>
            <w:noWrap/>
            <w:vAlign w:val="bottom"/>
            <w:hideMark/>
          </w:tcPr>
          <w:p w14:paraId="55AE0230"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 </w:t>
            </w:r>
          </w:p>
        </w:tc>
        <w:tc>
          <w:tcPr>
            <w:tcW w:w="2145" w:type="dxa"/>
            <w:tcBorders>
              <w:top w:val="nil"/>
              <w:left w:val="single" w:sz="4" w:space="0" w:color="auto"/>
              <w:bottom w:val="nil"/>
              <w:right w:val="nil"/>
            </w:tcBorders>
            <w:shd w:val="clear" w:color="auto" w:fill="auto"/>
            <w:noWrap/>
            <w:vAlign w:val="bottom"/>
            <w:hideMark/>
          </w:tcPr>
          <w:p w14:paraId="0F96D0AB" w14:textId="77777777" w:rsidR="00CE46E9" w:rsidRPr="00761418" w:rsidRDefault="00CE46E9" w:rsidP="00917F2D">
            <w:pPr>
              <w:spacing w:after="0" w:line="240" w:lineRule="auto"/>
              <w:jc w:val="center"/>
              <w:rPr>
                <w:rFonts w:eastAsia="Times New Roman" w:cs="Arial"/>
                <w:color w:val="000000"/>
                <w:szCs w:val="24"/>
              </w:rPr>
            </w:pPr>
          </w:p>
        </w:tc>
        <w:tc>
          <w:tcPr>
            <w:tcW w:w="2145" w:type="dxa"/>
            <w:tcBorders>
              <w:top w:val="nil"/>
              <w:left w:val="single" w:sz="4" w:space="0" w:color="auto"/>
              <w:bottom w:val="nil"/>
              <w:right w:val="nil"/>
            </w:tcBorders>
            <w:shd w:val="clear" w:color="auto" w:fill="auto"/>
            <w:noWrap/>
            <w:vAlign w:val="bottom"/>
            <w:hideMark/>
          </w:tcPr>
          <w:p w14:paraId="27CFF2CF"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 </w:t>
            </w:r>
          </w:p>
        </w:tc>
        <w:tc>
          <w:tcPr>
            <w:tcW w:w="2145" w:type="dxa"/>
            <w:tcBorders>
              <w:top w:val="nil"/>
              <w:left w:val="single" w:sz="4" w:space="0" w:color="auto"/>
              <w:bottom w:val="nil"/>
              <w:right w:val="single" w:sz="4" w:space="0" w:color="auto"/>
            </w:tcBorders>
            <w:shd w:val="clear" w:color="auto" w:fill="auto"/>
            <w:noWrap/>
            <w:vAlign w:val="bottom"/>
            <w:hideMark/>
          </w:tcPr>
          <w:p w14:paraId="6FA2BC00"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 </w:t>
            </w:r>
          </w:p>
        </w:tc>
      </w:tr>
      <w:tr w:rsidR="00CE46E9" w:rsidRPr="00761418" w14:paraId="086172E5" w14:textId="77777777" w:rsidTr="002F710F">
        <w:trPr>
          <w:trHeight w:val="68"/>
        </w:trPr>
        <w:tc>
          <w:tcPr>
            <w:tcW w:w="2145" w:type="dxa"/>
            <w:tcBorders>
              <w:top w:val="nil"/>
              <w:left w:val="single" w:sz="4" w:space="0" w:color="auto"/>
              <w:bottom w:val="nil"/>
              <w:right w:val="single" w:sz="4" w:space="0" w:color="auto"/>
            </w:tcBorders>
            <w:shd w:val="clear" w:color="auto" w:fill="auto"/>
            <w:noWrap/>
            <w:vAlign w:val="bottom"/>
            <w:hideMark/>
          </w:tcPr>
          <w:p w14:paraId="67AACEBF" w14:textId="3E7BC249" w:rsidR="00CE46E9" w:rsidRPr="00761418" w:rsidRDefault="00CE46E9" w:rsidP="00917F2D">
            <w:pPr>
              <w:spacing w:after="0" w:line="240" w:lineRule="auto"/>
              <w:rPr>
                <w:rFonts w:eastAsia="Times New Roman" w:cs="Arial"/>
                <w:color w:val="000000"/>
                <w:szCs w:val="24"/>
              </w:rPr>
            </w:pPr>
            <w:r w:rsidRPr="00761418">
              <w:rPr>
                <w:rFonts w:eastAsia="Times New Roman" w:cs="Arial"/>
                <w:color w:val="000000"/>
                <w:szCs w:val="24"/>
              </w:rPr>
              <w:t>Loca</w:t>
            </w:r>
            <w:r w:rsidR="002F710F" w:rsidRPr="00761418">
              <w:rPr>
                <w:rFonts w:eastAsia="Times New Roman" w:cs="Arial"/>
                <w:color w:val="000000"/>
                <w:szCs w:val="24"/>
              </w:rPr>
              <w:t>l stage</w:t>
            </w:r>
          </w:p>
        </w:tc>
        <w:tc>
          <w:tcPr>
            <w:tcW w:w="2145" w:type="dxa"/>
            <w:tcBorders>
              <w:top w:val="nil"/>
              <w:left w:val="nil"/>
              <w:bottom w:val="nil"/>
              <w:right w:val="nil"/>
            </w:tcBorders>
            <w:shd w:val="clear" w:color="auto" w:fill="auto"/>
            <w:noWrap/>
            <w:vAlign w:val="bottom"/>
            <w:hideMark/>
          </w:tcPr>
          <w:p w14:paraId="1ECA7584"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7.8 (7.2 to 8.5)</w:t>
            </w:r>
          </w:p>
        </w:tc>
        <w:tc>
          <w:tcPr>
            <w:tcW w:w="2145" w:type="dxa"/>
            <w:tcBorders>
              <w:top w:val="nil"/>
              <w:left w:val="single" w:sz="4" w:space="0" w:color="auto"/>
              <w:bottom w:val="nil"/>
              <w:right w:val="single" w:sz="4" w:space="0" w:color="auto"/>
            </w:tcBorders>
            <w:shd w:val="clear" w:color="auto" w:fill="auto"/>
            <w:noWrap/>
            <w:vAlign w:val="bottom"/>
            <w:hideMark/>
          </w:tcPr>
          <w:p w14:paraId="580B13A8"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3.9 (2.1 to 5.7)</w:t>
            </w:r>
          </w:p>
        </w:tc>
        <w:tc>
          <w:tcPr>
            <w:tcW w:w="2145" w:type="dxa"/>
            <w:tcBorders>
              <w:top w:val="nil"/>
              <w:left w:val="single" w:sz="4" w:space="0" w:color="auto"/>
              <w:bottom w:val="nil"/>
              <w:right w:val="nil"/>
            </w:tcBorders>
            <w:shd w:val="clear" w:color="auto" w:fill="auto"/>
            <w:noWrap/>
            <w:vAlign w:val="bottom"/>
            <w:hideMark/>
          </w:tcPr>
          <w:p w14:paraId="3BFDF18B"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-2.9 (-5.8 to 0.1)</w:t>
            </w:r>
          </w:p>
        </w:tc>
        <w:tc>
          <w:tcPr>
            <w:tcW w:w="2145" w:type="dxa"/>
            <w:tcBorders>
              <w:top w:val="nil"/>
              <w:left w:val="single" w:sz="4" w:space="0" w:color="auto"/>
              <w:bottom w:val="nil"/>
              <w:right w:val="nil"/>
            </w:tcBorders>
            <w:shd w:val="clear" w:color="auto" w:fill="auto"/>
            <w:noWrap/>
            <w:vAlign w:val="bottom"/>
            <w:hideMark/>
          </w:tcPr>
          <w:p w14:paraId="18282F59"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 </w:t>
            </w:r>
          </w:p>
        </w:tc>
        <w:tc>
          <w:tcPr>
            <w:tcW w:w="2145" w:type="dxa"/>
            <w:tcBorders>
              <w:top w:val="nil"/>
              <w:left w:val="single" w:sz="4" w:space="0" w:color="auto"/>
              <w:bottom w:val="nil"/>
              <w:right w:val="single" w:sz="4" w:space="0" w:color="auto"/>
            </w:tcBorders>
            <w:shd w:val="clear" w:color="auto" w:fill="auto"/>
            <w:noWrap/>
            <w:vAlign w:val="bottom"/>
            <w:hideMark/>
          </w:tcPr>
          <w:p w14:paraId="58AD389B"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4.8 (4.0 to 5.5)</w:t>
            </w:r>
          </w:p>
        </w:tc>
      </w:tr>
      <w:tr w:rsidR="00CE46E9" w:rsidRPr="00761418" w14:paraId="26D0919B" w14:textId="77777777" w:rsidTr="002F710F">
        <w:trPr>
          <w:trHeight w:val="288"/>
        </w:trPr>
        <w:tc>
          <w:tcPr>
            <w:tcW w:w="2145" w:type="dxa"/>
            <w:tcBorders>
              <w:top w:val="nil"/>
              <w:left w:val="single" w:sz="4" w:space="0" w:color="auto"/>
              <w:bottom w:val="nil"/>
              <w:right w:val="single" w:sz="4" w:space="0" w:color="auto"/>
            </w:tcBorders>
            <w:shd w:val="clear" w:color="auto" w:fill="auto"/>
            <w:noWrap/>
            <w:vAlign w:val="bottom"/>
            <w:hideMark/>
          </w:tcPr>
          <w:p w14:paraId="1D8173D7" w14:textId="77777777" w:rsidR="00CE46E9" w:rsidRPr="00761418" w:rsidRDefault="00CE46E9" w:rsidP="00917F2D">
            <w:pPr>
              <w:spacing w:after="0" w:line="240" w:lineRule="auto"/>
              <w:rPr>
                <w:rFonts w:eastAsia="Times New Roman" w:cs="Arial"/>
                <w:i/>
                <w:iCs/>
                <w:color w:val="000000"/>
                <w:szCs w:val="24"/>
              </w:rPr>
            </w:pPr>
            <w:r w:rsidRPr="00761418">
              <w:rPr>
                <w:rFonts w:eastAsia="Times New Roman" w:cs="Arial"/>
                <w:i/>
                <w:iCs/>
                <w:color w:val="000000"/>
                <w:szCs w:val="24"/>
              </w:rPr>
              <w:t> </w:t>
            </w:r>
          </w:p>
        </w:tc>
        <w:tc>
          <w:tcPr>
            <w:tcW w:w="2145" w:type="dxa"/>
            <w:tcBorders>
              <w:top w:val="nil"/>
              <w:left w:val="nil"/>
              <w:bottom w:val="nil"/>
              <w:right w:val="nil"/>
            </w:tcBorders>
            <w:shd w:val="clear" w:color="auto" w:fill="auto"/>
            <w:noWrap/>
            <w:vAlign w:val="bottom"/>
            <w:hideMark/>
          </w:tcPr>
          <w:p w14:paraId="0A45BEE0"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1991 - 2006</w:t>
            </w:r>
          </w:p>
        </w:tc>
        <w:tc>
          <w:tcPr>
            <w:tcW w:w="2145" w:type="dxa"/>
            <w:tcBorders>
              <w:top w:val="nil"/>
              <w:left w:val="single" w:sz="4" w:space="0" w:color="auto"/>
              <w:bottom w:val="nil"/>
              <w:right w:val="single" w:sz="4" w:space="0" w:color="auto"/>
            </w:tcBorders>
            <w:shd w:val="clear" w:color="auto" w:fill="auto"/>
            <w:noWrap/>
            <w:vAlign w:val="bottom"/>
            <w:hideMark/>
          </w:tcPr>
          <w:p w14:paraId="30B83A98"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2006 - 2012</w:t>
            </w:r>
          </w:p>
        </w:tc>
        <w:tc>
          <w:tcPr>
            <w:tcW w:w="2145" w:type="dxa"/>
            <w:tcBorders>
              <w:top w:val="nil"/>
              <w:left w:val="single" w:sz="4" w:space="0" w:color="auto"/>
              <w:bottom w:val="nil"/>
              <w:right w:val="nil"/>
            </w:tcBorders>
            <w:shd w:val="clear" w:color="auto" w:fill="auto"/>
            <w:noWrap/>
            <w:vAlign w:val="bottom"/>
            <w:hideMark/>
          </w:tcPr>
          <w:p w14:paraId="26AC9AEF"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2012 - 2017</w:t>
            </w:r>
          </w:p>
        </w:tc>
        <w:tc>
          <w:tcPr>
            <w:tcW w:w="2145" w:type="dxa"/>
            <w:tcBorders>
              <w:top w:val="nil"/>
              <w:left w:val="single" w:sz="4" w:space="0" w:color="auto"/>
              <w:bottom w:val="nil"/>
              <w:right w:val="nil"/>
            </w:tcBorders>
            <w:shd w:val="clear" w:color="auto" w:fill="auto"/>
            <w:noWrap/>
            <w:vAlign w:val="bottom"/>
            <w:hideMark/>
          </w:tcPr>
          <w:p w14:paraId="46C081C4"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 </w:t>
            </w:r>
          </w:p>
        </w:tc>
        <w:tc>
          <w:tcPr>
            <w:tcW w:w="2145" w:type="dxa"/>
            <w:tcBorders>
              <w:top w:val="nil"/>
              <w:left w:val="single" w:sz="4" w:space="0" w:color="auto"/>
              <w:bottom w:val="nil"/>
              <w:right w:val="single" w:sz="4" w:space="0" w:color="auto"/>
            </w:tcBorders>
            <w:shd w:val="clear" w:color="auto" w:fill="auto"/>
            <w:noWrap/>
            <w:vAlign w:val="bottom"/>
            <w:hideMark/>
          </w:tcPr>
          <w:p w14:paraId="623F05DB"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1991 - 2017</w:t>
            </w:r>
          </w:p>
        </w:tc>
      </w:tr>
      <w:tr w:rsidR="00CE46E9" w:rsidRPr="00761418" w14:paraId="5454BF1B" w14:textId="77777777" w:rsidTr="002F710F">
        <w:trPr>
          <w:trHeight w:val="68"/>
        </w:trPr>
        <w:tc>
          <w:tcPr>
            <w:tcW w:w="2145" w:type="dxa"/>
            <w:tcBorders>
              <w:top w:val="nil"/>
              <w:left w:val="single" w:sz="4" w:space="0" w:color="auto"/>
              <w:bottom w:val="nil"/>
              <w:right w:val="single" w:sz="4" w:space="0" w:color="auto"/>
            </w:tcBorders>
            <w:shd w:val="clear" w:color="auto" w:fill="auto"/>
            <w:noWrap/>
            <w:vAlign w:val="bottom"/>
            <w:hideMark/>
          </w:tcPr>
          <w:p w14:paraId="2A6EA221" w14:textId="77777777" w:rsidR="00CE46E9" w:rsidRPr="00761418" w:rsidRDefault="00CE46E9" w:rsidP="00917F2D">
            <w:pPr>
              <w:spacing w:after="0" w:line="240" w:lineRule="auto"/>
              <w:rPr>
                <w:rFonts w:eastAsia="Times New Roman" w:cs="Arial"/>
                <w:color w:val="000000"/>
                <w:szCs w:val="24"/>
              </w:rPr>
            </w:pPr>
            <w:r w:rsidRPr="00761418">
              <w:rPr>
                <w:rFonts w:eastAsia="Times New Roman" w:cs="Arial"/>
                <w:color w:val="000000"/>
                <w:szCs w:val="24"/>
              </w:rPr>
              <w:t> </w:t>
            </w:r>
          </w:p>
        </w:tc>
        <w:tc>
          <w:tcPr>
            <w:tcW w:w="2145" w:type="dxa"/>
            <w:tcBorders>
              <w:top w:val="nil"/>
              <w:left w:val="nil"/>
              <w:bottom w:val="nil"/>
              <w:right w:val="nil"/>
            </w:tcBorders>
            <w:shd w:val="clear" w:color="auto" w:fill="auto"/>
            <w:noWrap/>
            <w:vAlign w:val="bottom"/>
            <w:hideMark/>
          </w:tcPr>
          <w:p w14:paraId="714E9604" w14:textId="77777777" w:rsidR="00CE46E9" w:rsidRPr="00761418" w:rsidRDefault="00CE46E9" w:rsidP="00917F2D">
            <w:pPr>
              <w:spacing w:after="0" w:line="240" w:lineRule="auto"/>
              <w:rPr>
                <w:rFonts w:eastAsia="Times New Roman" w:cs="Arial"/>
                <w:color w:val="000000"/>
                <w:szCs w:val="24"/>
              </w:rPr>
            </w:pPr>
          </w:p>
        </w:tc>
        <w:tc>
          <w:tcPr>
            <w:tcW w:w="2145" w:type="dxa"/>
            <w:tcBorders>
              <w:top w:val="nil"/>
              <w:left w:val="single" w:sz="4" w:space="0" w:color="auto"/>
              <w:bottom w:val="nil"/>
              <w:right w:val="single" w:sz="4" w:space="0" w:color="auto"/>
            </w:tcBorders>
            <w:shd w:val="clear" w:color="auto" w:fill="auto"/>
            <w:noWrap/>
            <w:vAlign w:val="bottom"/>
            <w:hideMark/>
          </w:tcPr>
          <w:p w14:paraId="6EDE02F9"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 </w:t>
            </w:r>
          </w:p>
        </w:tc>
        <w:tc>
          <w:tcPr>
            <w:tcW w:w="2145" w:type="dxa"/>
            <w:tcBorders>
              <w:top w:val="nil"/>
              <w:left w:val="single" w:sz="4" w:space="0" w:color="auto"/>
              <w:bottom w:val="nil"/>
              <w:right w:val="nil"/>
            </w:tcBorders>
            <w:shd w:val="clear" w:color="auto" w:fill="auto"/>
            <w:noWrap/>
            <w:vAlign w:val="bottom"/>
            <w:hideMark/>
          </w:tcPr>
          <w:p w14:paraId="5624FD79" w14:textId="77777777" w:rsidR="00CE46E9" w:rsidRPr="00761418" w:rsidRDefault="00CE46E9" w:rsidP="00917F2D">
            <w:pPr>
              <w:spacing w:after="0" w:line="240" w:lineRule="auto"/>
              <w:jc w:val="center"/>
              <w:rPr>
                <w:rFonts w:eastAsia="Times New Roman" w:cs="Arial"/>
                <w:color w:val="000000"/>
                <w:szCs w:val="24"/>
              </w:rPr>
            </w:pPr>
          </w:p>
        </w:tc>
        <w:tc>
          <w:tcPr>
            <w:tcW w:w="2145" w:type="dxa"/>
            <w:tcBorders>
              <w:top w:val="nil"/>
              <w:left w:val="single" w:sz="4" w:space="0" w:color="auto"/>
              <w:bottom w:val="nil"/>
              <w:right w:val="nil"/>
            </w:tcBorders>
            <w:shd w:val="clear" w:color="auto" w:fill="auto"/>
            <w:noWrap/>
            <w:vAlign w:val="bottom"/>
            <w:hideMark/>
          </w:tcPr>
          <w:p w14:paraId="641CDDE7"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 </w:t>
            </w:r>
          </w:p>
        </w:tc>
        <w:tc>
          <w:tcPr>
            <w:tcW w:w="2145" w:type="dxa"/>
            <w:tcBorders>
              <w:top w:val="nil"/>
              <w:left w:val="single" w:sz="4" w:space="0" w:color="auto"/>
              <w:bottom w:val="nil"/>
              <w:right w:val="single" w:sz="4" w:space="0" w:color="auto"/>
            </w:tcBorders>
            <w:shd w:val="clear" w:color="auto" w:fill="auto"/>
            <w:noWrap/>
            <w:vAlign w:val="bottom"/>
            <w:hideMark/>
          </w:tcPr>
          <w:p w14:paraId="4279C3AE"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 </w:t>
            </w:r>
          </w:p>
        </w:tc>
      </w:tr>
      <w:tr w:rsidR="00CE46E9" w:rsidRPr="00761418" w14:paraId="2ED9B08C" w14:textId="77777777" w:rsidTr="002F710F">
        <w:trPr>
          <w:trHeight w:val="68"/>
        </w:trPr>
        <w:tc>
          <w:tcPr>
            <w:tcW w:w="2145" w:type="dxa"/>
            <w:tcBorders>
              <w:top w:val="nil"/>
              <w:left w:val="single" w:sz="4" w:space="0" w:color="auto"/>
              <w:bottom w:val="nil"/>
              <w:right w:val="single" w:sz="4" w:space="0" w:color="auto"/>
            </w:tcBorders>
            <w:shd w:val="clear" w:color="auto" w:fill="auto"/>
            <w:noWrap/>
            <w:vAlign w:val="bottom"/>
            <w:hideMark/>
          </w:tcPr>
          <w:p w14:paraId="523440EE" w14:textId="271A63D8" w:rsidR="00CE46E9" w:rsidRPr="00761418" w:rsidRDefault="00CE46E9" w:rsidP="00917F2D">
            <w:pPr>
              <w:spacing w:after="0" w:line="240" w:lineRule="auto"/>
              <w:rPr>
                <w:rFonts w:eastAsia="Times New Roman" w:cs="Arial"/>
                <w:color w:val="000000"/>
                <w:szCs w:val="24"/>
              </w:rPr>
            </w:pPr>
            <w:r w:rsidRPr="00761418">
              <w:rPr>
                <w:rFonts w:eastAsia="Times New Roman" w:cs="Arial"/>
                <w:color w:val="000000"/>
                <w:szCs w:val="24"/>
              </w:rPr>
              <w:lastRenderedPageBreak/>
              <w:t>Regional</w:t>
            </w:r>
            <w:r w:rsidR="002F710F" w:rsidRPr="00761418">
              <w:rPr>
                <w:rFonts w:eastAsia="Times New Roman" w:cs="Arial"/>
                <w:color w:val="000000"/>
                <w:szCs w:val="24"/>
              </w:rPr>
              <w:t xml:space="preserve"> stage</w:t>
            </w:r>
          </w:p>
        </w:tc>
        <w:tc>
          <w:tcPr>
            <w:tcW w:w="2145" w:type="dxa"/>
            <w:tcBorders>
              <w:top w:val="nil"/>
              <w:left w:val="nil"/>
              <w:bottom w:val="nil"/>
              <w:right w:val="nil"/>
            </w:tcBorders>
            <w:shd w:val="clear" w:color="auto" w:fill="auto"/>
            <w:noWrap/>
            <w:vAlign w:val="bottom"/>
            <w:hideMark/>
          </w:tcPr>
          <w:p w14:paraId="39ABC74C"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4.2 (1.0 to 7.5)</w:t>
            </w:r>
          </w:p>
        </w:tc>
        <w:tc>
          <w:tcPr>
            <w:tcW w:w="2145" w:type="dxa"/>
            <w:tcBorders>
              <w:top w:val="nil"/>
              <w:left w:val="single" w:sz="4" w:space="0" w:color="auto"/>
              <w:bottom w:val="nil"/>
              <w:right w:val="single" w:sz="4" w:space="0" w:color="auto"/>
            </w:tcBorders>
            <w:shd w:val="clear" w:color="auto" w:fill="auto"/>
            <w:noWrap/>
            <w:vAlign w:val="bottom"/>
            <w:hideMark/>
          </w:tcPr>
          <w:p w14:paraId="0E098A7A"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22.4 (14.0 to 31.4)</w:t>
            </w:r>
          </w:p>
        </w:tc>
        <w:tc>
          <w:tcPr>
            <w:tcW w:w="2145" w:type="dxa"/>
            <w:tcBorders>
              <w:top w:val="nil"/>
              <w:left w:val="single" w:sz="4" w:space="0" w:color="auto"/>
              <w:bottom w:val="nil"/>
              <w:right w:val="nil"/>
            </w:tcBorders>
            <w:shd w:val="clear" w:color="auto" w:fill="auto"/>
            <w:noWrap/>
            <w:vAlign w:val="bottom"/>
            <w:hideMark/>
          </w:tcPr>
          <w:p w14:paraId="1F1211F6"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4.7 (3.9 to 5.5)</w:t>
            </w:r>
          </w:p>
        </w:tc>
        <w:tc>
          <w:tcPr>
            <w:tcW w:w="2145" w:type="dxa"/>
            <w:tcBorders>
              <w:top w:val="nil"/>
              <w:left w:val="single" w:sz="4" w:space="0" w:color="auto"/>
              <w:bottom w:val="nil"/>
              <w:right w:val="nil"/>
            </w:tcBorders>
            <w:shd w:val="clear" w:color="auto" w:fill="auto"/>
            <w:noWrap/>
            <w:vAlign w:val="bottom"/>
            <w:hideMark/>
          </w:tcPr>
          <w:p w14:paraId="1347C138"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-9.4 (-18.0 to 0.0)</w:t>
            </w:r>
          </w:p>
        </w:tc>
        <w:tc>
          <w:tcPr>
            <w:tcW w:w="2145" w:type="dxa"/>
            <w:tcBorders>
              <w:top w:val="nil"/>
              <w:left w:val="single" w:sz="4" w:space="0" w:color="auto"/>
              <w:bottom w:val="nil"/>
              <w:right w:val="single" w:sz="4" w:space="0" w:color="auto"/>
            </w:tcBorders>
            <w:shd w:val="clear" w:color="auto" w:fill="auto"/>
            <w:noWrap/>
            <w:vAlign w:val="bottom"/>
            <w:hideMark/>
          </w:tcPr>
          <w:p w14:paraId="42CC3352"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5.3 (3.5 to 7.1)</w:t>
            </w:r>
          </w:p>
        </w:tc>
      </w:tr>
      <w:tr w:rsidR="00CE46E9" w:rsidRPr="00761418" w14:paraId="228104C1" w14:textId="77777777" w:rsidTr="002F710F">
        <w:trPr>
          <w:trHeight w:val="288"/>
        </w:trPr>
        <w:tc>
          <w:tcPr>
            <w:tcW w:w="2145" w:type="dxa"/>
            <w:tcBorders>
              <w:top w:val="nil"/>
              <w:left w:val="single" w:sz="4" w:space="0" w:color="auto"/>
              <w:bottom w:val="nil"/>
              <w:right w:val="single" w:sz="4" w:space="0" w:color="auto"/>
            </w:tcBorders>
            <w:shd w:val="clear" w:color="auto" w:fill="auto"/>
            <w:noWrap/>
            <w:vAlign w:val="bottom"/>
            <w:hideMark/>
          </w:tcPr>
          <w:p w14:paraId="7056C9F1" w14:textId="77777777" w:rsidR="00CE46E9" w:rsidRPr="00761418" w:rsidRDefault="00CE46E9" w:rsidP="00917F2D">
            <w:pPr>
              <w:spacing w:after="0" w:line="240" w:lineRule="auto"/>
              <w:rPr>
                <w:rFonts w:eastAsia="Times New Roman" w:cs="Arial"/>
                <w:i/>
                <w:iCs/>
                <w:color w:val="000000"/>
                <w:szCs w:val="24"/>
              </w:rPr>
            </w:pPr>
            <w:r w:rsidRPr="00761418">
              <w:rPr>
                <w:rFonts w:eastAsia="Times New Roman" w:cs="Arial"/>
                <w:i/>
                <w:iCs/>
                <w:color w:val="000000"/>
                <w:szCs w:val="24"/>
              </w:rPr>
              <w:t> </w:t>
            </w:r>
          </w:p>
        </w:tc>
        <w:tc>
          <w:tcPr>
            <w:tcW w:w="2145" w:type="dxa"/>
            <w:tcBorders>
              <w:top w:val="nil"/>
              <w:left w:val="nil"/>
              <w:bottom w:val="nil"/>
              <w:right w:val="nil"/>
            </w:tcBorders>
            <w:shd w:val="clear" w:color="auto" w:fill="auto"/>
            <w:noWrap/>
            <w:vAlign w:val="bottom"/>
            <w:hideMark/>
          </w:tcPr>
          <w:p w14:paraId="4C8E0FA5"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1991 - 1999</w:t>
            </w:r>
          </w:p>
        </w:tc>
        <w:tc>
          <w:tcPr>
            <w:tcW w:w="2145" w:type="dxa"/>
            <w:tcBorders>
              <w:top w:val="nil"/>
              <w:left w:val="single" w:sz="4" w:space="0" w:color="auto"/>
              <w:bottom w:val="nil"/>
              <w:right w:val="single" w:sz="4" w:space="0" w:color="auto"/>
            </w:tcBorders>
            <w:shd w:val="clear" w:color="auto" w:fill="auto"/>
            <w:noWrap/>
            <w:vAlign w:val="bottom"/>
            <w:hideMark/>
          </w:tcPr>
          <w:p w14:paraId="00FB18C4"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1999 - 2003</w:t>
            </w:r>
          </w:p>
        </w:tc>
        <w:tc>
          <w:tcPr>
            <w:tcW w:w="2145" w:type="dxa"/>
            <w:tcBorders>
              <w:top w:val="nil"/>
              <w:left w:val="single" w:sz="4" w:space="0" w:color="auto"/>
              <w:bottom w:val="nil"/>
              <w:right w:val="nil"/>
            </w:tcBorders>
            <w:shd w:val="clear" w:color="auto" w:fill="auto"/>
            <w:noWrap/>
            <w:vAlign w:val="bottom"/>
            <w:hideMark/>
          </w:tcPr>
          <w:p w14:paraId="3BF1D94A"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2003 - 2014</w:t>
            </w:r>
          </w:p>
        </w:tc>
        <w:tc>
          <w:tcPr>
            <w:tcW w:w="2145" w:type="dxa"/>
            <w:tcBorders>
              <w:top w:val="nil"/>
              <w:left w:val="single" w:sz="4" w:space="0" w:color="auto"/>
              <w:bottom w:val="nil"/>
              <w:right w:val="nil"/>
            </w:tcBorders>
            <w:shd w:val="clear" w:color="auto" w:fill="auto"/>
            <w:noWrap/>
            <w:vAlign w:val="bottom"/>
            <w:hideMark/>
          </w:tcPr>
          <w:p w14:paraId="4829CDAA"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2014 - 2017</w:t>
            </w:r>
          </w:p>
        </w:tc>
        <w:tc>
          <w:tcPr>
            <w:tcW w:w="2145" w:type="dxa"/>
            <w:tcBorders>
              <w:top w:val="nil"/>
              <w:left w:val="single" w:sz="4" w:space="0" w:color="auto"/>
              <w:bottom w:val="nil"/>
              <w:right w:val="single" w:sz="4" w:space="0" w:color="auto"/>
            </w:tcBorders>
            <w:shd w:val="clear" w:color="auto" w:fill="auto"/>
            <w:noWrap/>
            <w:vAlign w:val="bottom"/>
            <w:hideMark/>
          </w:tcPr>
          <w:p w14:paraId="06C3D9A3"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1991 - 2017</w:t>
            </w:r>
          </w:p>
        </w:tc>
      </w:tr>
      <w:tr w:rsidR="00CE46E9" w:rsidRPr="00761418" w14:paraId="1E7109AD" w14:textId="77777777" w:rsidTr="002F710F">
        <w:trPr>
          <w:trHeight w:val="70"/>
        </w:trPr>
        <w:tc>
          <w:tcPr>
            <w:tcW w:w="2145" w:type="dxa"/>
            <w:tcBorders>
              <w:top w:val="nil"/>
              <w:left w:val="single" w:sz="4" w:space="0" w:color="auto"/>
              <w:bottom w:val="nil"/>
              <w:right w:val="single" w:sz="4" w:space="0" w:color="auto"/>
            </w:tcBorders>
            <w:shd w:val="clear" w:color="auto" w:fill="auto"/>
            <w:noWrap/>
            <w:vAlign w:val="bottom"/>
            <w:hideMark/>
          </w:tcPr>
          <w:p w14:paraId="4AA01EFA" w14:textId="77777777" w:rsidR="00CE46E9" w:rsidRPr="00761418" w:rsidRDefault="00CE46E9" w:rsidP="00917F2D">
            <w:pPr>
              <w:spacing w:after="0" w:line="240" w:lineRule="auto"/>
              <w:rPr>
                <w:rFonts w:eastAsia="Times New Roman" w:cs="Arial"/>
                <w:color w:val="000000"/>
                <w:szCs w:val="24"/>
              </w:rPr>
            </w:pPr>
            <w:r w:rsidRPr="00761418">
              <w:rPr>
                <w:rFonts w:eastAsia="Times New Roman" w:cs="Arial"/>
                <w:color w:val="000000"/>
                <w:szCs w:val="24"/>
              </w:rPr>
              <w:t> </w:t>
            </w:r>
          </w:p>
        </w:tc>
        <w:tc>
          <w:tcPr>
            <w:tcW w:w="2145" w:type="dxa"/>
            <w:tcBorders>
              <w:top w:val="nil"/>
              <w:left w:val="nil"/>
              <w:bottom w:val="nil"/>
              <w:right w:val="nil"/>
            </w:tcBorders>
            <w:shd w:val="clear" w:color="auto" w:fill="auto"/>
            <w:noWrap/>
            <w:vAlign w:val="bottom"/>
            <w:hideMark/>
          </w:tcPr>
          <w:p w14:paraId="7BD145DE" w14:textId="77777777" w:rsidR="00CE46E9" w:rsidRPr="00761418" w:rsidRDefault="00CE46E9" w:rsidP="00917F2D">
            <w:pPr>
              <w:spacing w:after="0" w:line="240" w:lineRule="auto"/>
              <w:rPr>
                <w:rFonts w:eastAsia="Times New Roman" w:cs="Arial"/>
                <w:color w:val="000000"/>
                <w:szCs w:val="24"/>
              </w:rPr>
            </w:pPr>
          </w:p>
        </w:tc>
        <w:tc>
          <w:tcPr>
            <w:tcW w:w="2145" w:type="dxa"/>
            <w:tcBorders>
              <w:top w:val="nil"/>
              <w:left w:val="single" w:sz="4" w:space="0" w:color="auto"/>
              <w:bottom w:val="nil"/>
              <w:right w:val="single" w:sz="4" w:space="0" w:color="auto"/>
            </w:tcBorders>
            <w:shd w:val="clear" w:color="auto" w:fill="auto"/>
            <w:noWrap/>
            <w:vAlign w:val="bottom"/>
            <w:hideMark/>
          </w:tcPr>
          <w:p w14:paraId="267248D1"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 </w:t>
            </w:r>
          </w:p>
        </w:tc>
        <w:tc>
          <w:tcPr>
            <w:tcW w:w="2145" w:type="dxa"/>
            <w:tcBorders>
              <w:top w:val="nil"/>
              <w:left w:val="single" w:sz="4" w:space="0" w:color="auto"/>
              <w:bottom w:val="nil"/>
              <w:right w:val="nil"/>
            </w:tcBorders>
            <w:shd w:val="clear" w:color="auto" w:fill="auto"/>
            <w:noWrap/>
            <w:vAlign w:val="bottom"/>
            <w:hideMark/>
          </w:tcPr>
          <w:p w14:paraId="09603473" w14:textId="77777777" w:rsidR="00CE46E9" w:rsidRPr="00761418" w:rsidRDefault="00CE46E9" w:rsidP="00917F2D">
            <w:pPr>
              <w:spacing w:after="0" w:line="240" w:lineRule="auto"/>
              <w:jc w:val="center"/>
              <w:rPr>
                <w:rFonts w:eastAsia="Times New Roman" w:cs="Arial"/>
                <w:color w:val="000000"/>
                <w:szCs w:val="24"/>
              </w:rPr>
            </w:pPr>
          </w:p>
        </w:tc>
        <w:tc>
          <w:tcPr>
            <w:tcW w:w="2145" w:type="dxa"/>
            <w:tcBorders>
              <w:top w:val="nil"/>
              <w:left w:val="single" w:sz="4" w:space="0" w:color="auto"/>
              <w:bottom w:val="nil"/>
              <w:right w:val="nil"/>
            </w:tcBorders>
            <w:shd w:val="clear" w:color="auto" w:fill="auto"/>
            <w:noWrap/>
            <w:vAlign w:val="bottom"/>
            <w:hideMark/>
          </w:tcPr>
          <w:p w14:paraId="4AC8CDEF"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 </w:t>
            </w:r>
          </w:p>
        </w:tc>
        <w:tc>
          <w:tcPr>
            <w:tcW w:w="2145" w:type="dxa"/>
            <w:tcBorders>
              <w:top w:val="nil"/>
              <w:left w:val="single" w:sz="4" w:space="0" w:color="auto"/>
              <w:bottom w:val="nil"/>
              <w:right w:val="single" w:sz="4" w:space="0" w:color="auto"/>
            </w:tcBorders>
            <w:shd w:val="clear" w:color="auto" w:fill="auto"/>
            <w:noWrap/>
            <w:vAlign w:val="bottom"/>
            <w:hideMark/>
          </w:tcPr>
          <w:p w14:paraId="14911F78"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 </w:t>
            </w:r>
          </w:p>
        </w:tc>
      </w:tr>
      <w:tr w:rsidR="00CE46E9" w:rsidRPr="00761418" w14:paraId="7B315DA8" w14:textId="77777777" w:rsidTr="002F710F">
        <w:trPr>
          <w:trHeight w:val="68"/>
        </w:trPr>
        <w:tc>
          <w:tcPr>
            <w:tcW w:w="2145" w:type="dxa"/>
            <w:tcBorders>
              <w:top w:val="nil"/>
              <w:left w:val="single" w:sz="4" w:space="0" w:color="auto"/>
              <w:bottom w:val="nil"/>
              <w:right w:val="single" w:sz="4" w:space="0" w:color="auto"/>
            </w:tcBorders>
            <w:shd w:val="clear" w:color="auto" w:fill="auto"/>
            <w:noWrap/>
            <w:vAlign w:val="bottom"/>
            <w:hideMark/>
          </w:tcPr>
          <w:p w14:paraId="718CE578" w14:textId="3A96B30A" w:rsidR="00CE46E9" w:rsidRPr="00761418" w:rsidRDefault="00CE46E9" w:rsidP="00917F2D">
            <w:pPr>
              <w:spacing w:after="0" w:line="240" w:lineRule="auto"/>
              <w:rPr>
                <w:rFonts w:eastAsia="Times New Roman" w:cs="Arial"/>
                <w:color w:val="000000"/>
                <w:szCs w:val="24"/>
              </w:rPr>
            </w:pPr>
            <w:r w:rsidRPr="00761418">
              <w:rPr>
                <w:rFonts w:eastAsia="Times New Roman" w:cs="Arial"/>
                <w:color w:val="000000"/>
                <w:szCs w:val="24"/>
              </w:rPr>
              <w:t>Distant</w:t>
            </w:r>
            <w:r w:rsidR="002F710F" w:rsidRPr="00761418">
              <w:rPr>
                <w:rFonts w:eastAsia="Times New Roman" w:cs="Arial"/>
                <w:color w:val="000000"/>
                <w:szCs w:val="24"/>
              </w:rPr>
              <w:t xml:space="preserve"> stage</w:t>
            </w:r>
          </w:p>
        </w:tc>
        <w:tc>
          <w:tcPr>
            <w:tcW w:w="2145" w:type="dxa"/>
            <w:tcBorders>
              <w:top w:val="nil"/>
              <w:left w:val="nil"/>
              <w:bottom w:val="nil"/>
              <w:right w:val="nil"/>
            </w:tcBorders>
            <w:shd w:val="clear" w:color="auto" w:fill="auto"/>
            <w:noWrap/>
            <w:vAlign w:val="bottom"/>
            <w:hideMark/>
          </w:tcPr>
          <w:p w14:paraId="454C3291"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10.3 (5.8 to 15.1)</w:t>
            </w:r>
          </w:p>
        </w:tc>
        <w:tc>
          <w:tcPr>
            <w:tcW w:w="2145" w:type="dxa"/>
            <w:tcBorders>
              <w:top w:val="nil"/>
              <w:left w:val="single" w:sz="4" w:space="0" w:color="auto"/>
              <w:bottom w:val="nil"/>
              <w:right w:val="single" w:sz="4" w:space="0" w:color="auto"/>
            </w:tcBorders>
            <w:shd w:val="clear" w:color="auto" w:fill="auto"/>
            <w:noWrap/>
            <w:vAlign w:val="bottom"/>
            <w:hideMark/>
          </w:tcPr>
          <w:p w14:paraId="173CB5D3"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-10.4 (-18.6 to -1.4)</w:t>
            </w:r>
          </w:p>
        </w:tc>
        <w:tc>
          <w:tcPr>
            <w:tcW w:w="2145" w:type="dxa"/>
            <w:tcBorders>
              <w:top w:val="nil"/>
              <w:left w:val="single" w:sz="4" w:space="0" w:color="auto"/>
              <w:bottom w:val="nil"/>
              <w:right w:val="nil"/>
            </w:tcBorders>
            <w:shd w:val="clear" w:color="auto" w:fill="auto"/>
            <w:noWrap/>
            <w:vAlign w:val="bottom"/>
            <w:hideMark/>
          </w:tcPr>
          <w:p w14:paraId="0F182EA1"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1.9 (0.9 to 3.0)</w:t>
            </w:r>
          </w:p>
        </w:tc>
        <w:tc>
          <w:tcPr>
            <w:tcW w:w="2145" w:type="dxa"/>
            <w:tcBorders>
              <w:top w:val="nil"/>
              <w:left w:val="single" w:sz="4" w:space="0" w:color="auto"/>
              <w:bottom w:val="nil"/>
              <w:right w:val="nil"/>
            </w:tcBorders>
            <w:shd w:val="clear" w:color="auto" w:fill="auto"/>
            <w:noWrap/>
            <w:vAlign w:val="bottom"/>
            <w:hideMark/>
          </w:tcPr>
          <w:p w14:paraId="2DC19B33"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 </w:t>
            </w:r>
          </w:p>
        </w:tc>
        <w:tc>
          <w:tcPr>
            <w:tcW w:w="2145" w:type="dxa"/>
            <w:tcBorders>
              <w:top w:val="nil"/>
              <w:left w:val="single" w:sz="4" w:space="0" w:color="auto"/>
              <w:bottom w:val="nil"/>
              <w:right w:val="single" w:sz="4" w:space="0" w:color="auto"/>
            </w:tcBorders>
            <w:shd w:val="clear" w:color="auto" w:fill="auto"/>
            <w:noWrap/>
            <w:vAlign w:val="bottom"/>
            <w:hideMark/>
          </w:tcPr>
          <w:p w14:paraId="776BBCA8"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2.1 (0.2 to 4.0)</w:t>
            </w:r>
          </w:p>
        </w:tc>
      </w:tr>
      <w:tr w:rsidR="00CE46E9" w:rsidRPr="00761418" w14:paraId="505B12B0" w14:textId="77777777" w:rsidTr="002F710F">
        <w:trPr>
          <w:trHeight w:val="288"/>
        </w:trPr>
        <w:tc>
          <w:tcPr>
            <w:tcW w:w="2145" w:type="dxa"/>
            <w:tcBorders>
              <w:top w:val="nil"/>
              <w:left w:val="single" w:sz="4" w:space="0" w:color="auto"/>
              <w:bottom w:val="nil"/>
              <w:right w:val="single" w:sz="4" w:space="0" w:color="auto"/>
            </w:tcBorders>
            <w:shd w:val="clear" w:color="auto" w:fill="auto"/>
            <w:noWrap/>
            <w:vAlign w:val="bottom"/>
            <w:hideMark/>
          </w:tcPr>
          <w:p w14:paraId="2FE2F423" w14:textId="77777777" w:rsidR="00CE46E9" w:rsidRPr="00761418" w:rsidRDefault="00CE46E9" w:rsidP="00917F2D">
            <w:pPr>
              <w:spacing w:after="0" w:line="240" w:lineRule="auto"/>
              <w:rPr>
                <w:rFonts w:eastAsia="Times New Roman" w:cs="Arial"/>
                <w:i/>
                <w:iCs/>
                <w:color w:val="000000"/>
                <w:szCs w:val="24"/>
              </w:rPr>
            </w:pPr>
            <w:r w:rsidRPr="00761418">
              <w:rPr>
                <w:rFonts w:eastAsia="Times New Roman" w:cs="Arial"/>
                <w:i/>
                <w:iCs/>
                <w:color w:val="000000"/>
                <w:szCs w:val="24"/>
              </w:rPr>
              <w:t> </w:t>
            </w:r>
          </w:p>
        </w:tc>
        <w:tc>
          <w:tcPr>
            <w:tcW w:w="2145" w:type="dxa"/>
            <w:tcBorders>
              <w:top w:val="nil"/>
              <w:left w:val="nil"/>
              <w:right w:val="nil"/>
            </w:tcBorders>
            <w:shd w:val="clear" w:color="auto" w:fill="auto"/>
            <w:noWrap/>
            <w:vAlign w:val="bottom"/>
            <w:hideMark/>
          </w:tcPr>
          <w:p w14:paraId="30BCB12B"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1991 - 1998</w:t>
            </w:r>
          </w:p>
        </w:tc>
        <w:tc>
          <w:tcPr>
            <w:tcW w:w="2145" w:type="dxa"/>
            <w:tcBorders>
              <w:top w:val="nil"/>
              <w:left w:val="single" w:sz="4" w:space="0" w:color="auto"/>
              <w:bottom w:val="nil"/>
              <w:right w:val="single" w:sz="4" w:space="0" w:color="auto"/>
            </w:tcBorders>
            <w:shd w:val="clear" w:color="auto" w:fill="auto"/>
            <w:noWrap/>
            <w:vAlign w:val="bottom"/>
            <w:hideMark/>
          </w:tcPr>
          <w:p w14:paraId="51E578EA"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1998 - 2002</w:t>
            </w:r>
          </w:p>
        </w:tc>
        <w:tc>
          <w:tcPr>
            <w:tcW w:w="2145" w:type="dxa"/>
            <w:tcBorders>
              <w:top w:val="nil"/>
              <w:left w:val="single" w:sz="4" w:space="0" w:color="auto"/>
              <w:bottom w:val="nil"/>
              <w:right w:val="nil"/>
            </w:tcBorders>
            <w:shd w:val="clear" w:color="auto" w:fill="auto"/>
            <w:noWrap/>
            <w:vAlign w:val="bottom"/>
            <w:hideMark/>
          </w:tcPr>
          <w:p w14:paraId="6B5C8EFC"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2002 - 2017</w:t>
            </w:r>
          </w:p>
        </w:tc>
        <w:tc>
          <w:tcPr>
            <w:tcW w:w="2145" w:type="dxa"/>
            <w:tcBorders>
              <w:top w:val="nil"/>
              <w:left w:val="single" w:sz="4" w:space="0" w:color="auto"/>
              <w:bottom w:val="nil"/>
              <w:right w:val="nil"/>
            </w:tcBorders>
            <w:shd w:val="clear" w:color="auto" w:fill="auto"/>
            <w:noWrap/>
            <w:vAlign w:val="bottom"/>
            <w:hideMark/>
          </w:tcPr>
          <w:p w14:paraId="58E63B8D"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 </w:t>
            </w:r>
          </w:p>
        </w:tc>
        <w:tc>
          <w:tcPr>
            <w:tcW w:w="2145" w:type="dxa"/>
            <w:tcBorders>
              <w:top w:val="nil"/>
              <w:left w:val="single" w:sz="4" w:space="0" w:color="auto"/>
              <w:bottom w:val="nil"/>
              <w:right w:val="single" w:sz="4" w:space="0" w:color="auto"/>
            </w:tcBorders>
            <w:shd w:val="clear" w:color="auto" w:fill="auto"/>
            <w:noWrap/>
            <w:vAlign w:val="bottom"/>
            <w:hideMark/>
          </w:tcPr>
          <w:p w14:paraId="1387808B" w14:textId="77777777" w:rsidR="00CE46E9" w:rsidRPr="00761418" w:rsidRDefault="00CE46E9" w:rsidP="00917F2D">
            <w:pPr>
              <w:spacing w:after="0" w:line="240" w:lineRule="auto"/>
              <w:jc w:val="center"/>
              <w:rPr>
                <w:rFonts w:eastAsia="Times New Roman" w:cs="Arial"/>
                <w:i/>
                <w:iCs/>
                <w:color w:val="000000"/>
                <w:szCs w:val="24"/>
              </w:rPr>
            </w:pPr>
            <w:r w:rsidRPr="00761418">
              <w:rPr>
                <w:rFonts w:cs="Arial"/>
                <w:i/>
                <w:iCs/>
                <w:color w:val="000000"/>
                <w:szCs w:val="24"/>
              </w:rPr>
              <w:t>1991 - 2017</w:t>
            </w:r>
          </w:p>
        </w:tc>
      </w:tr>
      <w:tr w:rsidR="00CE46E9" w:rsidRPr="00761418" w14:paraId="541F43D6" w14:textId="77777777" w:rsidTr="002F710F">
        <w:trPr>
          <w:trHeight w:val="75"/>
        </w:trPr>
        <w:tc>
          <w:tcPr>
            <w:tcW w:w="2145" w:type="dxa"/>
            <w:tcBorders>
              <w:top w:val="nil"/>
              <w:left w:val="single" w:sz="4" w:space="0" w:color="auto"/>
              <w:right w:val="single" w:sz="4" w:space="0" w:color="auto"/>
            </w:tcBorders>
            <w:shd w:val="clear" w:color="auto" w:fill="auto"/>
            <w:noWrap/>
            <w:vAlign w:val="bottom"/>
            <w:hideMark/>
          </w:tcPr>
          <w:p w14:paraId="50E8BAA2" w14:textId="77777777" w:rsidR="00CE46E9" w:rsidRPr="00761418" w:rsidRDefault="00CE46E9" w:rsidP="00917F2D">
            <w:pPr>
              <w:spacing w:after="0" w:line="240" w:lineRule="auto"/>
              <w:rPr>
                <w:rFonts w:eastAsia="Times New Roman" w:cs="Arial"/>
                <w:color w:val="000000"/>
                <w:szCs w:val="24"/>
              </w:rPr>
            </w:pPr>
            <w:r w:rsidRPr="00761418">
              <w:rPr>
                <w:rFonts w:eastAsia="Times New Roman" w:cs="Arial"/>
                <w:color w:val="000000"/>
                <w:szCs w:val="24"/>
              </w:rPr>
              <w:t> </w:t>
            </w:r>
          </w:p>
        </w:tc>
        <w:tc>
          <w:tcPr>
            <w:tcW w:w="2145" w:type="dxa"/>
            <w:tcBorders>
              <w:top w:val="nil"/>
              <w:left w:val="nil"/>
              <w:right w:val="nil"/>
            </w:tcBorders>
            <w:shd w:val="clear" w:color="auto" w:fill="auto"/>
            <w:noWrap/>
            <w:vAlign w:val="bottom"/>
            <w:hideMark/>
          </w:tcPr>
          <w:p w14:paraId="0B4CCABF" w14:textId="77777777" w:rsidR="00CE46E9" w:rsidRPr="00761418" w:rsidRDefault="00CE46E9" w:rsidP="00917F2D">
            <w:pPr>
              <w:spacing w:after="0" w:line="240" w:lineRule="auto"/>
              <w:rPr>
                <w:rFonts w:eastAsia="Times New Roman" w:cs="Arial"/>
                <w:color w:val="000000"/>
                <w:szCs w:val="24"/>
              </w:rPr>
            </w:pPr>
          </w:p>
        </w:tc>
        <w:tc>
          <w:tcPr>
            <w:tcW w:w="2145" w:type="dxa"/>
            <w:tcBorders>
              <w:top w:val="nil"/>
              <w:left w:val="single" w:sz="4" w:space="0" w:color="auto"/>
              <w:right w:val="single" w:sz="4" w:space="0" w:color="auto"/>
            </w:tcBorders>
            <w:shd w:val="clear" w:color="auto" w:fill="auto"/>
            <w:noWrap/>
            <w:vAlign w:val="bottom"/>
            <w:hideMark/>
          </w:tcPr>
          <w:p w14:paraId="1C0AB876"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 </w:t>
            </w:r>
          </w:p>
        </w:tc>
        <w:tc>
          <w:tcPr>
            <w:tcW w:w="2145" w:type="dxa"/>
            <w:tcBorders>
              <w:top w:val="nil"/>
              <w:left w:val="single" w:sz="4" w:space="0" w:color="auto"/>
              <w:right w:val="nil"/>
            </w:tcBorders>
            <w:shd w:val="clear" w:color="auto" w:fill="auto"/>
            <w:noWrap/>
            <w:vAlign w:val="bottom"/>
            <w:hideMark/>
          </w:tcPr>
          <w:p w14:paraId="62534DBF" w14:textId="77777777" w:rsidR="00CE46E9" w:rsidRPr="00761418" w:rsidRDefault="00CE46E9" w:rsidP="00917F2D">
            <w:pPr>
              <w:spacing w:after="0" w:line="240" w:lineRule="auto"/>
              <w:jc w:val="center"/>
              <w:rPr>
                <w:rFonts w:eastAsia="Times New Roman" w:cs="Arial"/>
                <w:color w:val="000000"/>
                <w:szCs w:val="24"/>
              </w:rPr>
            </w:pPr>
          </w:p>
        </w:tc>
        <w:tc>
          <w:tcPr>
            <w:tcW w:w="2145" w:type="dxa"/>
            <w:tcBorders>
              <w:top w:val="nil"/>
              <w:left w:val="single" w:sz="4" w:space="0" w:color="auto"/>
              <w:right w:val="nil"/>
            </w:tcBorders>
            <w:shd w:val="clear" w:color="auto" w:fill="auto"/>
            <w:noWrap/>
            <w:vAlign w:val="bottom"/>
            <w:hideMark/>
          </w:tcPr>
          <w:p w14:paraId="30DA9225"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 </w:t>
            </w:r>
          </w:p>
        </w:tc>
        <w:tc>
          <w:tcPr>
            <w:tcW w:w="2145" w:type="dxa"/>
            <w:tcBorders>
              <w:top w:val="nil"/>
              <w:left w:val="single" w:sz="4" w:space="0" w:color="auto"/>
              <w:right w:val="single" w:sz="4" w:space="0" w:color="auto"/>
            </w:tcBorders>
            <w:shd w:val="clear" w:color="auto" w:fill="auto"/>
            <w:noWrap/>
            <w:vAlign w:val="bottom"/>
            <w:hideMark/>
          </w:tcPr>
          <w:p w14:paraId="4C2575A6"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 </w:t>
            </w:r>
          </w:p>
        </w:tc>
      </w:tr>
      <w:tr w:rsidR="00CE46E9" w:rsidRPr="00761418" w14:paraId="665ACD85" w14:textId="77777777" w:rsidTr="002F710F">
        <w:trPr>
          <w:trHeight w:val="68"/>
        </w:trPr>
        <w:tc>
          <w:tcPr>
            <w:tcW w:w="2145" w:type="dxa"/>
            <w:tcBorders>
              <w:top w:val="nil"/>
              <w:left w:val="single" w:sz="4" w:space="0" w:color="auto"/>
              <w:right w:val="single" w:sz="4" w:space="0" w:color="auto"/>
            </w:tcBorders>
            <w:shd w:val="clear" w:color="auto" w:fill="auto"/>
            <w:noWrap/>
            <w:vAlign w:val="bottom"/>
            <w:hideMark/>
          </w:tcPr>
          <w:p w14:paraId="4E7A3D1C" w14:textId="77777777" w:rsidR="00CE46E9" w:rsidRPr="00761418" w:rsidRDefault="00CE46E9" w:rsidP="00917F2D">
            <w:pPr>
              <w:spacing w:after="0" w:line="240" w:lineRule="auto"/>
              <w:rPr>
                <w:rFonts w:eastAsia="Times New Roman" w:cs="Arial"/>
                <w:color w:val="000000"/>
                <w:szCs w:val="24"/>
              </w:rPr>
            </w:pPr>
            <w:r w:rsidRPr="00761418">
              <w:rPr>
                <w:rFonts w:eastAsia="Times New Roman" w:cs="Arial"/>
                <w:color w:val="000000"/>
                <w:szCs w:val="24"/>
              </w:rPr>
              <w:t>Unstaged</w:t>
            </w:r>
          </w:p>
        </w:tc>
        <w:tc>
          <w:tcPr>
            <w:tcW w:w="2145" w:type="dxa"/>
            <w:tcBorders>
              <w:top w:val="nil"/>
              <w:left w:val="single" w:sz="4" w:space="0" w:color="auto"/>
              <w:right w:val="single" w:sz="4" w:space="0" w:color="auto"/>
            </w:tcBorders>
            <w:shd w:val="clear" w:color="auto" w:fill="auto"/>
            <w:noWrap/>
            <w:vAlign w:val="bottom"/>
            <w:hideMark/>
          </w:tcPr>
          <w:p w14:paraId="4287493E"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-0.5 (-1.7 to 0.8)</w:t>
            </w:r>
          </w:p>
        </w:tc>
        <w:tc>
          <w:tcPr>
            <w:tcW w:w="2145" w:type="dxa"/>
            <w:tcBorders>
              <w:top w:val="nil"/>
              <w:left w:val="single" w:sz="4" w:space="0" w:color="auto"/>
              <w:right w:val="single" w:sz="4" w:space="0" w:color="auto"/>
            </w:tcBorders>
            <w:shd w:val="clear" w:color="auto" w:fill="auto"/>
            <w:noWrap/>
            <w:vAlign w:val="bottom"/>
            <w:hideMark/>
          </w:tcPr>
          <w:p w14:paraId="5B11A2D8"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-14.9 (-29.2 to 2.2)</w:t>
            </w:r>
          </w:p>
        </w:tc>
        <w:tc>
          <w:tcPr>
            <w:tcW w:w="2145" w:type="dxa"/>
            <w:tcBorders>
              <w:top w:val="nil"/>
              <w:left w:val="single" w:sz="4" w:space="0" w:color="auto"/>
              <w:right w:val="single" w:sz="4" w:space="0" w:color="auto"/>
            </w:tcBorders>
            <w:shd w:val="clear" w:color="auto" w:fill="auto"/>
            <w:noWrap/>
            <w:vAlign w:val="bottom"/>
            <w:hideMark/>
          </w:tcPr>
          <w:p w14:paraId="4EA111B5"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0.9 (-0.9 to 2.8)</w:t>
            </w:r>
          </w:p>
        </w:tc>
        <w:tc>
          <w:tcPr>
            <w:tcW w:w="2145" w:type="dxa"/>
            <w:tcBorders>
              <w:top w:val="nil"/>
              <w:left w:val="single" w:sz="4" w:space="0" w:color="auto"/>
              <w:right w:val="single" w:sz="4" w:space="0" w:color="auto"/>
            </w:tcBorders>
            <w:shd w:val="clear" w:color="auto" w:fill="auto"/>
            <w:noWrap/>
            <w:vAlign w:val="bottom"/>
            <w:hideMark/>
          </w:tcPr>
          <w:p w14:paraId="14313369"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 </w:t>
            </w:r>
          </w:p>
        </w:tc>
        <w:tc>
          <w:tcPr>
            <w:tcW w:w="2145" w:type="dxa"/>
            <w:tcBorders>
              <w:top w:val="nil"/>
              <w:left w:val="single" w:sz="4" w:space="0" w:color="auto"/>
              <w:right w:val="single" w:sz="4" w:space="0" w:color="auto"/>
            </w:tcBorders>
            <w:shd w:val="clear" w:color="auto" w:fill="auto"/>
            <w:noWrap/>
            <w:vAlign w:val="bottom"/>
            <w:hideMark/>
          </w:tcPr>
          <w:p w14:paraId="3E8DF0C7" w14:textId="77777777" w:rsidR="00CE46E9" w:rsidRPr="00761418" w:rsidRDefault="00CE46E9" w:rsidP="00917F2D">
            <w:pPr>
              <w:spacing w:after="0" w:line="240" w:lineRule="auto"/>
              <w:jc w:val="center"/>
              <w:rPr>
                <w:rFonts w:eastAsia="Times New Roman" w:cs="Arial"/>
                <w:color w:val="000000"/>
                <w:szCs w:val="24"/>
              </w:rPr>
            </w:pPr>
            <w:r w:rsidRPr="00761418">
              <w:rPr>
                <w:rFonts w:cs="Arial"/>
                <w:color w:val="000000"/>
                <w:szCs w:val="24"/>
              </w:rPr>
              <w:t>-1.7 (-3.8 to 0.5)</w:t>
            </w:r>
          </w:p>
        </w:tc>
      </w:tr>
      <w:tr w:rsidR="002F710F" w:rsidRPr="00761418" w14:paraId="652C8E57" w14:textId="77777777" w:rsidTr="00761418">
        <w:trPr>
          <w:trHeight w:val="68"/>
        </w:trPr>
        <w:tc>
          <w:tcPr>
            <w:tcW w:w="2145" w:type="dxa"/>
            <w:tcBorders>
              <w:left w:val="single" w:sz="4" w:space="0" w:color="auto"/>
              <w:right w:val="single" w:sz="4" w:space="0" w:color="auto"/>
            </w:tcBorders>
            <w:shd w:val="clear" w:color="auto" w:fill="auto"/>
            <w:noWrap/>
            <w:vAlign w:val="bottom"/>
          </w:tcPr>
          <w:p w14:paraId="2B1CD136" w14:textId="77777777" w:rsidR="002F710F" w:rsidRPr="00761418" w:rsidRDefault="002F710F" w:rsidP="002F710F">
            <w:pPr>
              <w:spacing w:after="0" w:line="240" w:lineRule="auto"/>
              <w:rPr>
                <w:rFonts w:eastAsia="Times New Roman" w:cs="Arial"/>
                <w:color w:val="000000"/>
                <w:szCs w:val="24"/>
              </w:rPr>
            </w:pPr>
          </w:p>
        </w:tc>
        <w:tc>
          <w:tcPr>
            <w:tcW w:w="2145" w:type="dxa"/>
            <w:tcBorders>
              <w:left w:val="single" w:sz="4" w:space="0" w:color="auto"/>
              <w:right w:val="single" w:sz="4" w:space="0" w:color="auto"/>
            </w:tcBorders>
            <w:shd w:val="clear" w:color="auto" w:fill="auto"/>
            <w:noWrap/>
            <w:vAlign w:val="bottom"/>
          </w:tcPr>
          <w:p w14:paraId="0B92C8E1" w14:textId="78D11CF4" w:rsidR="002F710F" w:rsidRPr="00761418" w:rsidRDefault="002F710F" w:rsidP="002F710F">
            <w:pPr>
              <w:spacing w:after="0" w:line="240" w:lineRule="auto"/>
              <w:jc w:val="center"/>
              <w:rPr>
                <w:rFonts w:cs="Arial"/>
                <w:color w:val="000000"/>
                <w:szCs w:val="24"/>
              </w:rPr>
            </w:pPr>
            <w:r w:rsidRPr="00761418">
              <w:rPr>
                <w:rFonts w:cs="Arial"/>
                <w:i/>
                <w:iCs/>
                <w:color w:val="000000"/>
                <w:szCs w:val="24"/>
              </w:rPr>
              <w:t>1991 - 2003</w:t>
            </w:r>
          </w:p>
        </w:tc>
        <w:tc>
          <w:tcPr>
            <w:tcW w:w="2145" w:type="dxa"/>
            <w:tcBorders>
              <w:left w:val="single" w:sz="4" w:space="0" w:color="auto"/>
              <w:right w:val="single" w:sz="4" w:space="0" w:color="auto"/>
            </w:tcBorders>
            <w:shd w:val="clear" w:color="auto" w:fill="auto"/>
            <w:noWrap/>
            <w:vAlign w:val="bottom"/>
          </w:tcPr>
          <w:p w14:paraId="1931256D" w14:textId="0950A82B" w:rsidR="002F710F" w:rsidRPr="00761418" w:rsidRDefault="002F710F" w:rsidP="002F710F">
            <w:pPr>
              <w:spacing w:after="0" w:line="240" w:lineRule="auto"/>
              <w:jc w:val="center"/>
              <w:rPr>
                <w:rFonts w:cs="Arial"/>
                <w:color w:val="000000"/>
                <w:szCs w:val="24"/>
              </w:rPr>
            </w:pPr>
            <w:r w:rsidRPr="00761418">
              <w:rPr>
                <w:rFonts w:cs="Arial"/>
                <w:i/>
                <w:iCs/>
                <w:color w:val="000000"/>
                <w:szCs w:val="24"/>
              </w:rPr>
              <w:t>2003 - 2006</w:t>
            </w:r>
          </w:p>
        </w:tc>
        <w:tc>
          <w:tcPr>
            <w:tcW w:w="2145" w:type="dxa"/>
            <w:tcBorders>
              <w:left w:val="single" w:sz="4" w:space="0" w:color="auto"/>
              <w:right w:val="single" w:sz="4" w:space="0" w:color="auto"/>
            </w:tcBorders>
            <w:shd w:val="clear" w:color="auto" w:fill="auto"/>
            <w:noWrap/>
            <w:vAlign w:val="bottom"/>
          </w:tcPr>
          <w:p w14:paraId="0D75773B" w14:textId="76501FE8" w:rsidR="002F710F" w:rsidRPr="00761418" w:rsidRDefault="002F710F" w:rsidP="002F710F">
            <w:pPr>
              <w:spacing w:after="0" w:line="240" w:lineRule="auto"/>
              <w:jc w:val="center"/>
              <w:rPr>
                <w:rFonts w:cs="Arial"/>
                <w:color w:val="000000"/>
                <w:szCs w:val="24"/>
              </w:rPr>
            </w:pPr>
            <w:r w:rsidRPr="00761418">
              <w:rPr>
                <w:rFonts w:cs="Arial"/>
                <w:i/>
                <w:iCs/>
                <w:color w:val="000000"/>
                <w:szCs w:val="24"/>
              </w:rPr>
              <w:t>2006 - 2017</w:t>
            </w:r>
          </w:p>
        </w:tc>
        <w:tc>
          <w:tcPr>
            <w:tcW w:w="2145" w:type="dxa"/>
            <w:tcBorders>
              <w:left w:val="single" w:sz="4" w:space="0" w:color="auto"/>
              <w:right w:val="single" w:sz="4" w:space="0" w:color="auto"/>
            </w:tcBorders>
            <w:shd w:val="clear" w:color="auto" w:fill="auto"/>
            <w:noWrap/>
            <w:vAlign w:val="bottom"/>
          </w:tcPr>
          <w:p w14:paraId="6E6BC17C" w14:textId="7AE50083" w:rsidR="002F710F" w:rsidRPr="00761418" w:rsidRDefault="002F710F" w:rsidP="002F710F">
            <w:pPr>
              <w:spacing w:after="0" w:line="240" w:lineRule="auto"/>
              <w:jc w:val="center"/>
              <w:rPr>
                <w:rFonts w:cs="Arial"/>
                <w:color w:val="000000"/>
                <w:szCs w:val="24"/>
              </w:rPr>
            </w:pPr>
            <w:r w:rsidRPr="00761418">
              <w:rPr>
                <w:rFonts w:cs="Arial"/>
                <w:i/>
                <w:iCs/>
                <w:color w:val="000000"/>
                <w:szCs w:val="24"/>
              </w:rPr>
              <w:t> </w:t>
            </w:r>
          </w:p>
        </w:tc>
        <w:tc>
          <w:tcPr>
            <w:tcW w:w="2145" w:type="dxa"/>
            <w:tcBorders>
              <w:left w:val="single" w:sz="4" w:space="0" w:color="auto"/>
              <w:right w:val="single" w:sz="4" w:space="0" w:color="auto"/>
            </w:tcBorders>
            <w:shd w:val="clear" w:color="auto" w:fill="auto"/>
            <w:noWrap/>
            <w:vAlign w:val="bottom"/>
          </w:tcPr>
          <w:p w14:paraId="36EAB4F3" w14:textId="3E519DE5" w:rsidR="002F710F" w:rsidRPr="00761418" w:rsidRDefault="002F710F" w:rsidP="002F710F">
            <w:pPr>
              <w:spacing w:after="0" w:line="240" w:lineRule="auto"/>
              <w:jc w:val="center"/>
              <w:rPr>
                <w:rFonts w:cs="Arial"/>
                <w:color w:val="000000"/>
                <w:szCs w:val="24"/>
              </w:rPr>
            </w:pPr>
            <w:r w:rsidRPr="00761418">
              <w:rPr>
                <w:rFonts w:cs="Arial"/>
                <w:i/>
                <w:iCs/>
                <w:color w:val="000000"/>
                <w:szCs w:val="24"/>
              </w:rPr>
              <w:t>1991 - 2017</w:t>
            </w:r>
          </w:p>
        </w:tc>
      </w:tr>
      <w:tr w:rsidR="00761418" w:rsidRPr="00761418" w14:paraId="43B20772" w14:textId="77777777" w:rsidTr="00761418">
        <w:trPr>
          <w:trHeight w:val="288"/>
        </w:trPr>
        <w:tc>
          <w:tcPr>
            <w:tcW w:w="2145" w:type="dxa"/>
            <w:tcBorders>
              <w:left w:val="single" w:sz="4" w:space="0" w:color="auto"/>
              <w:bottom w:val="single" w:sz="4" w:space="0" w:color="auto"/>
              <w:right w:val="single" w:sz="4" w:space="0" w:color="auto"/>
            </w:tcBorders>
            <w:shd w:val="clear" w:color="auto" w:fill="auto"/>
            <w:noWrap/>
            <w:vAlign w:val="bottom"/>
          </w:tcPr>
          <w:p w14:paraId="76B1EC87" w14:textId="77777777" w:rsidR="00761418" w:rsidRPr="00761418" w:rsidRDefault="00761418" w:rsidP="002F710F">
            <w:pPr>
              <w:spacing w:after="0" w:line="240" w:lineRule="auto"/>
              <w:rPr>
                <w:rFonts w:eastAsia="Times New Roman" w:cs="Arial"/>
                <w:b/>
                <w:iCs/>
                <w:color w:val="000000"/>
                <w:szCs w:val="24"/>
              </w:rPr>
            </w:pPr>
          </w:p>
        </w:tc>
        <w:tc>
          <w:tcPr>
            <w:tcW w:w="2145" w:type="dxa"/>
            <w:tcBorders>
              <w:left w:val="single" w:sz="4" w:space="0" w:color="auto"/>
              <w:bottom w:val="single" w:sz="4" w:space="0" w:color="auto"/>
              <w:right w:val="single" w:sz="4" w:space="0" w:color="auto"/>
            </w:tcBorders>
            <w:shd w:val="clear" w:color="auto" w:fill="auto"/>
            <w:noWrap/>
            <w:vAlign w:val="bottom"/>
          </w:tcPr>
          <w:p w14:paraId="22CBE8A3" w14:textId="77777777" w:rsidR="00761418" w:rsidRPr="00761418" w:rsidRDefault="00761418" w:rsidP="002F710F">
            <w:pPr>
              <w:spacing w:after="0" w:line="240" w:lineRule="auto"/>
              <w:jc w:val="center"/>
              <w:rPr>
                <w:rFonts w:cs="Arial"/>
                <w:b/>
                <w:i/>
                <w:iCs/>
                <w:color w:val="000000"/>
                <w:szCs w:val="24"/>
              </w:rPr>
            </w:pPr>
          </w:p>
        </w:tc>
        <w:tc>
          <w:tcPr>
            <w:tcW w:w="2145" w:type="dxa"/>
            <w:tcBorders>
              <w:left w:val="single" w:sz="4" w:space="0" w:color="auto"/>
              <w:bottom w:val="single" w:sz="4" w:space="0" w:color="auto"/>
              <w:right w:val="single" w:sz="4" w:space="0" w:color="auto"/>
            </w:tcBorders>
            <w:shd w:val="clear" w:color="auto" w:fill="auto"/>
            <w:noWrap/>
            <w:vAlign w:val="bottom"/>
          </w:tcPr>
          <w:p w14:paraId="03A876C8" w14:textId="77777777" w:rsidR="00761418" w:rsidRPr="00761418" w:rsidRDefault="00761418" w:rsidP="002F710F">
            <w:pPr>
              <w:spacing w:after="0" w:line="240" w:lineRule="auto"/>
              <w:jc w:val="center"/>
              <w:rPr>
                <w:rFonts w:cs="Arial"/>
                <w:b/>
                <w:i/>
                <w:iCs/>
                <w:color w:val="000000"/>
                <w:szCs w:val="24"/>
              </w:rPr>
            </w:pPr>
          </w:p>
        </w:tc>
        <w:tc>
          <w:tcPr>
            <w:tcW w:w="2145" w:type="dxa"/>
            <w:tcBorders>
              <w:left w:val="single" w:sz="4" w:space="0" w:color="auto"/>
              <w:bottom w:val="single" w:sz="4" w:space="0" w:color="auto"/>
              <w:right w:val="single" w:sz="4" w:space="0" w:color="auto"/>
            </w:tcBorders>
            <w:shd w:val="clear" w:color="auto" w:fill="auto"/>
            <w:noWrap/>
            <w:vAlign w:val="bottom"/>
          </w:tcPr>
          <w:p w14:paraId="70E187A8" w14:textId="77777777" w:rsidR="00761418" w:rsidRPr="00761418" w:rsidRDefault="00761418" w:rsidP="002F710F">
            <w:pPr>
              <w:spacing w:after="0" w:line="240" w:lineRule="auto"/>
              <w:jc w:val="center"/>
              <w:rPr>
                <w:rFonts w:cs="Arial"/>
                <w:b/>
                <w:i/>
                <w:iCs/>
                <w:color w:val="000000"/>
                <w:szCs w:val="24"/>
              </w:rPr>
            </w:pPr>
          </w:p>
        </w:tc>
        <w:tc>
          <w:tcPr>
            <w:tcW w:w="2145" w:type="dxa"/>
            <w:tcBorders>
              <w:left w:val="single" w:sz="4" w:space="0" w:color="auto"/>
              <w:bottom w:val="single" w:sz="4" w:space="0" w:color="auto"/>
              <w:right w:val="single" w:sz="4" w:space="0" w:color="auto"/>
            </w:tcBorders>
            <w:shd w:val="clear" w:color="auto" w:fill="auto"/>
            <w:noWrap/>
            <w:vAlign w:val="bottom"/>
          </w:tcPr>
          <w:p w14:paraId="171E304B" w14:textId="77777777" w:rsidR="00761418" w:rsidRPr="00761418" w:rsidRDefault="00761418" w:rsidP="002F710F">
            <w:pPr>
              <w:spacing w:after="0" w:line="240" w:lineRule="auto"/>
              <w:jc w:val="center"/>
              <w:rPr>
                <w:rFonts w:cs="Arial"/>
                <w:b/>
                <w:i/>
                <w:iCs/>
                <w:color w:val="000000"/>
                <w:szCs w:val="24"/>
              </w:rPr>
            </w:pPr>
          </w:p>
        </w:tc>
        <w:tc>
          <w:tcPr>
            <w:tcW w:w="2145" w:type="dxa"/>
            <w:tcBorders>
              <w:left w:val="single" w:sz="4" w:space="0" w:color="auto"/>
              <w:bottom w:val="single" w:sz="4" w:space="0" w:color="auto"/>
              <w:right w:val="single" w:sz="4" w:space="0" w:color="auto"/>
            </w:tcBorders>
            <w:shd w:val="clear" w:color="auto" w:fill="auto"/>
            <w:noWrap/>
            <w:vAlign w:val="bottom"/>
          </w:tcPr>
          <w:p w14:paraId="7C2F7540" w14:textId="77777777" w:rsidR="00761418" w:rsidRPr="00761418" w:rsidRDefault="00761418" w:rsidP="002F710F">
            <w:pPr>
              <w:spacing w:after="0" w:line="240" w:lineRule="auto"/>
              <w:jc w:val="center"/>
              <w:rPr>
                <w:rFonts w:cs="Arial"/>
                <w:b/>
                <w:i/>
                <w:iCs/>
                <w:color w:val="000000"/>
                <w:szCs w:val="24"/>
              </w:rPr>
            </w:pPr>
          </w:p>
        </w:tc>
      </w:tr>
      <w:tr w:rsidR="002F710F" w:rsidRPr="00761418" w14:paraId="78A0D421" w14:textId="77777777" w:rsidTr="00761418">
        <w:trPr>
          <w:trHeight w:val="288"/>
        </w:trPr>
        <w:tc>
          <w:tcPr>
            <w:tcW w:w="2145" w:type="dxa"/>
            <w:tcBorders>
              <w:top w:val="single" w:sz="4" w:space="0" w:color="auto"/>
              <w:left w:val="single" w:sz="4" w:space="0" w:color="auto"/>
              <w:bottom w:val="nil"/>
              <w:right w:val="single" w:sz="4" w:space="0" w:color="auto"/>
            </w:tcBorders>
            <w:shd w:val="clear" w:color="auto" w:fill="auto"/>
            <w:noWrap/>
            <w:vAlign w:val="bottom"/>
          </w:tcPr>
          <w:p w14:paraId="6D18A084" w14:textId="77777777" w:rsidR="002F710F" w:rsidRDefault="002F710F" w:rsidP="002F710F">
            <w:pPr>
              <w:spacing w:after="0" w:line="240" w:lineRule="auto"/>
              <w:rPr>
                <w:rFonts w:eastAsia="Times New Roman" w:cs="Arial"/>
                <w:b/>
                <w:iCs/>
                <w:color w:val="000000"/>
                <w:szCs w:val="24"/>
              </w:rPr>
            </w:pPr>
            <w:r w:rsidRPr="00761418">
              <w:rPr>
                <w:rFonts w:eastAsia="Times New Roman" w:cs="Arial"/>
                <w:b/>
                <w:iCs/>
                <w:color w:val="000000"/>
                <w:szCs w:val="24"/>
              </w:rPr>
              <w:t>Counterfactual IBM rate</w:t>
            </w:r>
          </w:p>
          <w:p w14:paraId="6E4EE9D2" w14:textId="73D5D350" w:rsidR="0097481C" w:rsidRPr="00761418" w:rsidRDefault="0097481C" w:rsidP="002F710F">
            <w:pPr>
              <w:spacing w:after="0" w:line="240" w:lineRule="auto"/>
              <w:rPr>
                <w:rFonts w:eastAsia="Times New Roman" w:cs="Arial"/>
                <w:b/>
                <w:iCs/>
                <w:color w:val="000000"/>
                <w:szCs w:val="24"/>
              </w:rPr>
            </w:pPr>
          </w:p>
        </w:tc>
        <w:tc>
          <w:tcPr>
            <w:tcW w:w="2145" w:type="dxa"/>
            <w:tcBorders>
              <w:top w:val="single" w:sz="4" w:space="0" w:color="auto"/>
              <w:left w:val="nil"/>
              <w:bottom w:val="nil"/>
              <w:right w:val="nil"/>
            </w:tcBorders>
            <w:shd w:val="clear" w:color="auto" w:fill="auto"/>
            <w:noWrap/>
            <w:vAlign w:val="bottom"/>
          </w:tcPr>
          <w:p w14:paraId="646D0849" w14:textId="77777777" w:rsidR="002F710F" w:rsidRPr="00761418" w:rsidRDefault="002F710F" w:rsidP="002F710F">
            <w:pPr>
              <w:spacing w:after="0" w:line="240" w:lineRule="auto"/>
              <w:jc w:val="center"/>
              <w:rPr>
                <w:rFonts w:cs="Arial"/>
                <w:b/>
                <w:i/>
                <w:iCs/>
                <w:color w:val="000000"/>
                <w:szCs w:val="24"/>
              </w:rPr>
            </w:pPr>
          </w:p>
        </w:tc>
        <w:tc>
          <w:tcPr>
            <w:tcW w:w="2145" w:type="dxa"/>
            <w:tcBorders>
              <w:top w:val="single" w:sz="4" w:space="0" w:color="auto"/>
              <w:left w:val="single" w:sz="4" w:space="0" w:color="auto"/>
              <w:bottom w:val="nil"/>
              <w:right w:val="single" w:sz="4" w:space="0" w:color="auto"/>
            </w:tcBorders>
            <w:shd w:val="clear" w:color="auto" w:fill="auto"/>
            <w:noWrap/>
            <w:vAlign w:val="bottom"/>
          </w:tcPr>
          <w:p w14:paraId="45E3C10B" w14:textId="77777777" w:rsidR="002F710F" w:rsidRPr="00761418" w:rsidRDefault="002F710F" w:rsidP="002F710F">
            <w:pPr>
              <w:spacing w:after="0" w:line="240" w:lineRule="auto"/>
              <w:jc w:val="center"/>
              <w:rPr>
                <w:rFonts w:cs="Arial"/>
                <w:b/>
                <w:i/>
                <w:iCs/>
                <w:color w:val="000000"/>
                <w:szCs w:val="24"/>
              </w:rPr>
            </w:pPr>
          </w:p>
        </w:tc>
        <w:tc>
          <w:tcPr>
            <w:tcW w:w="2145" w:type="dxa"/>
            <w:tcBorders>
              <w:top w:val="single" w:sz="4" w:space="0" w:color="auto"/>
              <w:left w:val="single" w:sz="4" w:space="0" w:color="auto"/>
              <w:bottom w:val="nil"/>
              <w:right w:val="nil"/>
            </w:tcBorders>
            <w:shd w:val="clear" w:color="auto" w:fill="auto"/>
            <w:noWrap/>
            <w:vAlign w:val="bottom"/>
          </w:tcPr>
          <w:p w14:paraId="4D71ABBF" w14:textId="77777777" w:rsidR="002F710F" w:rsidRPr="00761418" w:rsidRDefault="002F710F" w:rsidP="002F710F">
            <w:pPr>
              <w:spacing w:after="0" w:line="240" w:lineRule="auto"/>
              <w:jc w:val="center"/>
              <w:rPr>
                <w:rFonts w:cs="Arial"/>
                <w:b/>
                <w:i/>
                <w:iCs/>
                <w:color w:val="000000"/>
                <w:szCs w:val="24"/>
              </w:rPr>
            </w:pPr>
          </w:p>
        </w:tc>
        <w:tc>
          <w:tcPr>
            <w:tcW w:w="2145" w:type="dxa"/>
            <w:tcBorders>
              <w:top w:val="single" w:sz="4" w:space="0" w:color="auto"/>
              <w:left w:val="single" w:sz="4" w:space="0" w:color="auto"/>
              <w:bottom w:val="nil"/>
              <w:right w:val="nil"/>
            </w:tcBorders>
            <w:shd w:val="clear" w:color="auto" w:fill="auto"/>
            <w:noWrap/>
            <w:vAlign w:val="bottom"/>
          </w:tcPr>
          <w:p w14:paraId="1CD695AE" w14:textId="77777777" w:rsidR="002F710F" w:rsidRPr="00761418" w:rsidRDefault="002F710F" w:rsidP="002F710F">
            <w:pPr>
              <w:spacing w:after="0" w:line="240" w:lineRule="auto"/>
              <w:jc w:val="center"/>
              <w:rPr>
                <w:rFonts w:cs="Arial"/>
                <w:b/>
                <w:i/>
                <w:iCs/>
                <w:color w:val="000000"/>
                <w:szCs w:val="24"/>
              </w:rPr>
            </w:pPr>
          </w:p>
        </w:tc>
        <w:tc>
          <w:tcPr>
            <w:tcW w:w="2145" w:type="dxa"/>
            <w:tcBorders>
              <w:top w:val="single" w:sz="4" w:space="0" w:color="auto"/>
              <w:left w:val="single" w:sz="4" w:space="0" w:color="auto"/>
              <w:bottom w:val="nil"/>
              <w:right w:val="single" w:sz="4" w:space="0" w:color="auto"/>
            </w:tcBorders>
            <w:shd w:val="clear" w:color="auto" w:fill="auto"/>
            <w:noWrap/>
            <w:vAlign w:val="bottom"/>
          </w:tcPr>
          <w:p w14:paraId="6F38FF23" w14:textId="77777777" w:rsidR="002F710F" w:rsidRPr="00761418" w:rsidRDefault="002F710F" w:rsidP="002F710F">
            <w:pPr>
              <w:spacing w:after="0" w:line="240" w:lineRule="auto"/>
              <w:jc w:val="center"/>
              <w:rPr>
                <w:rFonts w:cs="Arial"/>
                <w:b/>
                <w:i/>
                <w:iCs/>
                <w:color w:val="000000"/>
                <w:szCs w:val="24"/>
              </w:rPr>
            </w:pPr>
          </w:p>
        </w:tc>
      </w:tr>
      <w:tr w:rsidR="002F710F" w:rsidRPr="00761418" w14:paraId="67ACEA41" w14:textId="77777777" w:rsidTr="002F710F">
        <w:trPr>
          <w:trHeight w:val="288"/>
        </w:trPr>
        <w:tc>
          <w:tcPr>
            <w:tcW w:w="2145" w:type="dxa"/>
            <w:tcBorders>
              <w:top w:val="nil"/>
              <w:left w:val="single" w:sz="4" w:space="0" w:color="auto"/>
              <w:bottom w:val="nil"/>
              <w:right w:val="single" w:sz="4" w:space="0" w:color="auto"/>
            </w:tcBorders>
            <w:shd w:val="clear" w:color="auto" w:fill="auto"/>
            <w:noWrap/>
            <w:vAlign w:val="bottom"/>
          </w:tcPr>
          <w:p w14:paraId="399C74E8" w14:textId="7571D2F5" w:rsidR="002F710F" w:rsidRPr="00761418" w:rsidRDefault="002F710F" w:rsidP="002F710F">
            <w:pPr>
              <w:spacing w:after="0" w:line="240" w:lineRule="auto"/>
              <w:rPr>
                <w:rFonts w:eastAsia="Times New Roman" w:cs="Arial"/>
                <w:iCs/>
                <w:color w:val="000000"/>
                <w:szCs w:val="24"/>
              </w:rPr>
            </w:pPr>
            <w:r w:rsidRPr="00761418">
              <w:rPr>
                <w:rFonts w:eastAsia="Times New Roman" w:cs="Arial"/>
                <w:iCs/>
                <w:color w:val="000000"/>
                <w:szCs w:val="24"/>
              </w:rPr>
              <w:t>Local</w:t>
            </w:r>
            <w:r w:rsidRPr="00761418">
              <w:rPr>
                <w:rFonts w:eastAsia="Times New Roman" w:cs="Arial"/>
                <w:color w:val="000000"/>
                <w:szCs w:val="24"/>
              </w:rPr>
              <w:t xml:space="preserve"> stage</w:t>
            </w:r>
          </w:p>
        </w:tc>
        <w:tc>
          <w:tcPr>
            <w:tcW w:w="2145" w:type="dxa"/>
            <w:tcBorders>
              <w:top w:val="nil"/>
              <w:left w:val="nil"/>
              <w:bottom w:val="nil"/>
              <w:right w:val="nil"/>
            </w:tcBorders>
            <w:shd w:val="clear" w:color="auto" w:fill="auto"/>
            <w:noWrap/>
            <w:vAlign w:val="bottom"/>
          </w:tcPr>
          <w:p w14:paraId="423DB3F6" w14:textId="01DD6BD3" w:rsidR="002F710F" w:rsidRPr="00761418" w:rsidRDefault="002F710F" w:rsidP="002F710F">
            <w:pPr>
              <w:spacing w:after="0" w:line="240" w:lineRule="auto"/>
              <w:jc w:val="center"/>
              <w:rPr>
                <w:rFonts w:cs="Arial"/>
                <w:iCs/>
                <w:color w:val="000000"/>
                <w:szCs w:val="24"/>
              </w:rPr>
            </w:pPr>
            <w:r w:rsidRPr="00761418">
              <w:rPr>
                <w:rFonts w:cs="Arial"/>
                <w:iCs/>
                <w:color w:val="000000"/>
                <w:szCs w:val="24"/>
              </w:rPr>
              <w:t>7.1 (5.0 to 9.3)</w:t>
            </w:r>
          </w:p>
        </w:tc>
        <w:tc>
          <w:tcPr>
            <w:tcW w:w="2145" w:type="dxa"/>
            <w:tcBorders>
              <w:top w:val="nil"/>
              <w:left w:val="single" w:sz="4" w:space="0" w:color="auto"/>
              <w:bottom w:val="nil"/>
              <w:right w:val="single" w:sz="4" w:space="0" w:color="auto"/>
            </w:tcBorders>
            <w:shd w:val="clear" w:color="auto" w:fill="auto"/>
            <w:noWrap/>
            <w:vAlign w:val="bottom"/>
          </w:tcPr>
          <w:p w14:paraId="542DA960" w14:textId="08430934" w:rsidR="002F710F" w:rsidRPr="00761418" w:rsidRDefault="002F710F" w:rsidP="002F710F">
            <w:pPr>
              <w:spacing w:after="0" w:line="240" w:lineRule="auto"/>
              <w:jc w:val="center"/>
              <w:rPr>
                <w:rFonts w:cs="Arial"/>
                <w:iCs/>
                <w:color w:val="000000"/>
                <w:szCs w:val="24"/>
              </w:rPr>
            </w:pPr>
            <w:r w:rsidRPr="00761418">
              <w:rPr>
                <w:rFonts w:cs="Arial"/>
                <w:iCs/>
                <w:color w:val="000000"/>
                <w:szCs w:val="24"/>
              </w:rPr>
              <w:t>9.5 (4.9 to 14.3)</w:t>
            </w:r>
          </w:p>
        </w:tc>
        <w:tc>
          <w:tcPr>
            <w:tcW w:w="2145" w:type="dxa"/>
            <w:tcBorders>
              <w:top w:val="nil"/>
              <w:left w:val="single" w:sz="4" w:space="0" w:color="auto"/>
              <w:bottom w:val="nil"/>
              <w:right w:val="nil"/>
            </w:tcBorders>
            <w:shd w:val="clear" w:color="auto" w:fill="auto"/>
            <w:noWrap/>
            <w:vAlign w:val="bottom"/>
          </w:tcPr>
          <w:p w14:paraId="76C7ACE0" w14:textId="70AF056F" w:rsidR="002F710F" w:rsidRPr="00761418" w:rsidRDefault="002F710F" w:rsidP="002F710F">
            <w:pPr>
              <w:spacing w:after="0" w:line="240" w:lineRule="auto"/>
              <w:jc w:val="center"/>
              <w:rPr>
                <w:rFonts w:cs="Arial"/>
                <w:iCs/>
                <w:color w:val="000000"/>
                <w:szCs w:val="24"/>
              </w:rPr>
            </w:pPr>
            <w:r w:rsidRPr="00761418">
              <w:rPr>
                <w:rFonts w:cs="Arial"/>
                <w:iCs/>
                <w:color w:val="000000"/>
                <w:szCs w:val="24"/>
              </w:rPr>
              <w:t>3.5 (1.0 to 6.1)</w:t>
            </w:r>
          </w:p>
        </w:tc>
        <w:tc>
          <w:tcPr>
            <w:tcW w:w="2145" w:type="dxa"/>
            <w:tcBorders>
              <w:top w:val="nil"/>
              <w:left w:val="single" w:sz="4" w:space="0" w:color="auto"/>
              <w:bottom w:val="nil"/>
              <w:right w:val="nil"/>
            </w:tcBorders>
            <w:shd w:val="clear" w:color="auto" w:fill="auto"/>
            <w:noWrap/>
            <w:vAlign w:val="bottom"/>
          </w:tcPr>
          <w:p w14:paraId="654007E1" w14:textId="17ED49DE" w:rsidR="002F710F" w:rsidRPr="00761418" w:rsidRDefault="002F710F" w:rsidP="002F710F">
            <w:pPr>
              <w:spacing w:after="0" w:line="240" w:lineRule="auto"/>
              <w:jc w:val="center"/>
              <w:rPr>
                <w:rFonts w:cs="Arial"/>
                <w:iCs/>
                <w:color w:val="000000"/>
                <w:szCs w:val="24"/>
              </w:rPr>
            </w:pPr>
            <w:r w:rsidRPr="00761418">
              <w:rPr>
                <w:rFonts w:cs="Arial"/>
                <w:iCs/>
                <w:color w:val="000000"/>
                <w:szCs w:val="24"/>
              </w:rPr>
              <w:t>-3.9 (-8.0 to 0.5)</w:t>
            </w:r>
          </w:p>
        </w:tc>
        <w:tc>
          <w:tcPr>
            <w:tcW w:w="2145" w:type="dxa"/>
            <w:tcBorders>
              <w:top w:val="nil"/>
              <w:left w:val="single" w:sz="4" w:space="0" w:color="auto"/>
              <w:bottom w:val="nil"/>
              <w:right w:val="single" w:sz="4" w:space="0" w:color="auto"/>
            </w:tcBorders>
            <w:shd w:val="clear" w:color="auto" w:fill="auto"/>
            <w:noWrap/>
            <w:vAlign w:val="bottom"/>
          </w:tcPr>
          <w:p w14:paraId="647B4257" w14:textId="4063DAF9" w:rsidR="002F710F" w:rsidRPr="00761418" w:rsidRDefault="002F710F" w:rsidP="002F710F">
            <w:pPr>
              <w:spacing w:after="0" w:line="240" w:lineRule="auto"/>
              <w:jc w:val="center"/>
              <w:rPr>
                <w:rFonts w:cs="Arial"/>
                <w:iCs/>
                <w:color w:val="000000"/>
                <w:szCs w:val="24"/>
              </w:rPr>
            </w:pPr>
            <w:r w:rsidRPr="00761418">
              <w:rPr>
                <w:rFonts w:cs="Arial"/>
                <w:iCs/>
                <w:color w:val="000000"/>
                <w:szCs w:val="24"/>
              </w:rPr>
              <w:t>5.3 (3.2 to 7.4)</w:t>
            </w:r>
          </w:p>
        </w:tc>
      </w:tr>
      <w:tr w:rsidR="002F710F" w:rsidRPr="00761418" w14:paraId="28DB7EBE" w14:textId="77777777" w:rsidTr="002F710F">
        <w:trPr>
          <w:trHeight w:val="288"/>
        </w:trPr>
        <w:tc>
          <w:tcPr>
            <w:tcW w:w="2145" w:type="dxa"/>
            <w:tcBorders>
              <w:top w:val="nil"/>
              <w:left w:val="single" w:sz="4" w:space="0" w:color="auto"/>
              <w:bottom w:val="nil"/>
              <w:right w:val="single" w:sz="4" w:space="0" w:color="auto"/>
            </w:tcBorders>
            <w:shd w:val="clear" w:color="auto" w:fill="auto"/>
            <w:noWrap/>
            <w:vAlign w:val="bottom"/>
          </w:tcPr>
          <w:p w14:paraId="437FC1B4" w14:textId="77777777" w:rsidR="002F710F" w:rsidRPr="00761418" w:rsidRDefault="002F710F" w:rsidP="002F710F">
            <w:pPr>
              <w:spacing w:after="0" w:line="240" w:lineRule="auto"/>
              <w:rPr>
                <w:rFonts w:eastAsia="Times New Roman" w:cs="Arial"/>
                <w:b/>
                <w:iCs/>
                <w:color w:val="000000"/>
                <w:szCs w:val="24"/>
              </w:rPr>
            </w:pPr>
          </w:p>
        </w:tc>
        <w:tc>
          <w:tcPr>
            <w:tcW w:w="2145" w:type="dxa"/>
            <w:tcBorders>
              <w:top w:val="nil"/>
              <w:left w:val="nil"/>
              <w:bottom w:val="nil"/>
              <w:right w:val="nil"/>
            </w:tcBorders>
            <w:shd w:val="clear" w:color="auto" w:fill="auto"/>
            <w:noWrap/>
            <w:vAlign w:val="bottom"/>
          </w:tcPr>
          <w:p w14:paraId="1736E01F" w14:textId="144631AD" w:rsidR="002F710F" w:rsidRPr="00761418" w:rsidRDefault="002F710F" w:rsidP="002F710F">
            <w:pPr>
              <w:spacing w:after="0" w:line="240" w:lineRule="auto"/>
              <w:jc w:val="center"/>
              <w:rPr>
                <w:rFonts w:cs="Arial"/>
                <w:i/>
                <w:iCs/>
                <w:color w:val="000000"/>
                <w:szCs w:val="24"/>
              </w:rPr>
            </w:pPr>
            <w:r w:rsidRPr="00761418">
              <w:rPr>
                <w:rFonts w:cs="Arial"/>
                <w:i/>
                <w:iCs/>
                <w:color w:val="000000"/>
                <w:szCs w:val="24"/>
              </w:rPr>
              <w:t>1991 - 2001</w:t>
            </w:r>
          </w:p>
        </w:tc>
        <w:tc>
          <w:tcPr>
            <w:tcW w:w="2145" w:type="dxa"/>
            <w:tcBorders>
              <w:top w:val="nil"/>
              <w:left w:val="single" w:sz="4" w:space="0" w:color="auto"/>
              <w:bottom w:val="nil"/>
              <w:right w:val="single" w:sz="4" w:space="0" w:color="auto"/>
            </w:tcBorders>
            <w:shd w:val="clear" w:color="auto" w:fill="auto"/>
            <w:noWrap/>
            <w:vAlign w:val="bottom"/>
          </w:tcPr>
          <w:p w14:paraId="2F40D4E9" w14:textId="028E010A" w:rsidR="002F710F" w:rsidRPr="00761418" w:rsidRDefault="002F710F" w:rsidP="002F710F">
            <w:pPr>
              <w:spacing w:after="0" w:line="240" w:lineRule="auto"/>
              <w:jc w:val="center"/>
              <w:rPr>
                <w:rFonts w:cs="Arial"/>
                <w:i/>
                <w:iCs/>
                <w:color w:val="000000"/>
                <w:szCs w:val="24"/>
              </w:rPr>
            </w:pPr>
            <w:r w:rsidRPr="00761418">
              <w:rPr>
                <w:rFonts w:cs="Arial"/>
                <w:i/>
                <w:iCs/>
                <w:color w:val="000000"/>
                <w:szCs w:val="24"/>
              </w:rPr>
              <w:t>2001 - 2006</w:t>
            </w:r>
          </w:p>
        </w:tc>
        <w:tc>
          <w:tcPr>
            <w:tcW w:w="2145" w:type="dxa"/>
            <w:tcBorders>
              <w:top w:val="nil"/>
              <w:left w:val="single" w:sz="4" w:space="0" w:color="auto"/>
              <w:bottom w:val="nil"/>
              <w:right w:val="nil"/>
            </w:tcBorders>
            <w:shd w:val="clear" w:color="auto" w:fill="auto"/>
            <w:noWrap/>
            <w:vAlign w:val="bottom"/>
          </w:tcPr>
          <w:p w14:paraId="6534CBB4" w14:textId="58F6E594" w:rsidR="002F710F" w:rsidRPr="00761418" w:rsidRDefault="002F710F" w:rsidP="002F710F">
            <w:pPr>
              <w:spacing w:after="0" w:line="240" w:lineRule="auto"/>
              <w:jc w:val="center"/>
              <w:rPr>
                <w:rFonts w:cs="Arial"/>
                <w:i/>
                <w:iCs/>
                <w:color w:val="000000"/>
                <w:szCs w:val="24"/>
              </w:rPr>
            </w:pPr>
            <w:r w:rsidRPr="00761418">
              <w:rPr>
                <w:rFonts w:cs="Arial"/>
                <w:i/>
                <w:iCs/>
                <w:color w:val="000000"/>
                <w:szCs w:val="24"/>
              </w:rPr>
              <w:t>2006 - 2012</w:t>
            </w:r>
          </w:p>
        </w:tc>
        <w:tc>
          <w:tcPr>
            <w:tcW w:w="2145" w:type="dxa"/>
            <w:tcBorders>
              <w:top w:val="nil"/>
              <w:left w:val="single" w:sz="4" w:space="0" w:color="auto"/>
              <w:bottom w:val="nil"/>
              <w:right w:val="nil"/>
            </w:tcBorders>
            <w:shd w:val="clear" w:color="auto" w:fill="auto"/>
            <w:noWrap/>
            <w:vAlign w:val="bottom"/>
          </w:tcPr>
          <w:p w14:paraId="3577A929" w14:textId="52D80340" w:rsidR="002F710F" w:rsidRPr="00761418" w:rsidRDefault="002F710F" w:rsidP="002F710F">
            <w:pPr>
              <w:spacing w:after="0" w:line="240" w:lineRule="auto"/>
              <w:jc w:val="center"/>
              <w:rPr>
                <w:rFonts w:cs="Arial"/>
                <w:i/>
                <w:iCs/>
                <w:color w:val="000000"/>
                <w:szCs w:val="24"/>
              </w:rPr>
            </w:pPr>
            <w:r w:rsidRPr="00761418">
              <w:rPr>
                <w:rFonts w:cs="Arial"/>
                <w:i/>
                <w:iCs/>
                <w:color w:val="000000"/>
                <w:szCs w:val="24"/>
              </w:rPr>
              <w:t>2012 - 2017</w:t>
            </w:r>
          </w:p>
        </w:tc>
        <w:tc>
          <w:tcPr>
            <w:tcW w:w="2145" w:type="dxa"/>
            <w:tcBorders>
              <w:top w:val="nil"/>
              <w:left w:val="single" w:sz="4" w:space="0" w:color="auto"/>
              <w:bottom w:val="nil"/>
              <w:right w:val="single" w:sz="4" w:space="0" w:color="auto"/>
            </w:tcBorders>
            <w:shd w:val="clear" w:color="auto" w:fill="auto"/>
            <w:noWrap/>
            <w:vAlign w:val="bottom"/>
          </w:tcPr>
          <w:p w14:paraId="4AA14B88" w14:textId="13323479" w:rsidR="002F710F" w:rsidRPr="00761418" w:rsidRDefault="002F710F" w:rsidP="002F710F">
            <w:pPr>
              <w:spacing w:after="0" w:line="240" w:lineRule="auto"/>
              <w:jc w:val="center"/>
              <w:rPr>
                <w:rFonts w:cs="Arial"/>
                <w:i/>
                <w:iCs/>
                <w:color w:val="000000"/>
                <w:szCs w:val="24"/>
              </w:rPr>
            </w:pPr>
            <w:r w:rsidRPr="00761418">
              <w:rPr>
                <w:rFonts w:cs="Arial"/>
                <w:i/>
                <w:iCs/>
                <w:color w:val="000000"/>
                <w:szCs w:val="24"/>
              </w:rPr>
              <w:t>1991 - 2017</w:t>
            </w:r>
          </w:p>
        </w:tc>
      </w:tr>
      <w:tr w:rsidR="002F710F" w:rsidRPr="00761418" w14:paraId="5FB2749D" w14:textId="77777777" w:rsidTr="002F710F">
        <w:trPr>
          <w:trHeight w:val="55"/>
        </w:trPr>
        <w:tc>
          <w:tcPr>
            <w:tcW w:w="2145" w:type="dxa"/>
            <w:tcBorders>
              <w:top w:val="nil"/>
              <w:left w:val="single" w:sz="4" w:space="0" w:color="auto"/>
              <w:bottom w:val="single" w:sz="4" w:space="0" w:color="auto"/>
              <w:right w:val="single" w:sz="4" w:space="0" w:color="auto"/>
            </w:tcBorders>
            <w:shd w:val="clear" w:color="auto" w:fill="auto"/>
            <w:noWrap/>
            <w:vAlign w:val="bottom"/>
          </w:tcPr>
          <w:p w14:paraId="5D87BCBF" w14:textId="77777777" w:rsidR="002F710F" w:rsidRPr="00761418" w:rsidRDefault="002F710F" w:rsidP="002F710F">
            <w:pPr>
              <w:spacing w:after="0" w:line="240" w:lineRule="auto"/>
              <w:rPr>
                <w:rFonts w:eastAsia="Times New Roman" w:cs="Arial"/>
                <w:color w:val="000000"/>
                <w:szCs w:val="24"/>
              </w:rPr>
            </w:pPr>
          </w:p>
        </w:tc>
        <w:tc>
          <w:tcPr>
            <w:tcW w:w="2145" w:type="dxa"/>
            <w:tcBorders>
              <w:top w:val="nil"/>
              <w:left w:val="nil"/>
              <w:bottom w:val="single" w:sz="4" w:space="0" w:color="auto"/>
              <w:right w:val="nil"/>
            </w:tcBorders>
            <w:shd w:val="clear" w:color="auto" w:fill="auto"/>
            <w:noWrap/>
            <w:vAlign w:val="bottom"/>
          </w:tcPr>
          <w:p w14:paraId="3B60D483" w14:textId="77777777" w:rsidR="002F710F" w:rsidRPr="00761418" w:rsidRDefault="002F710F" w:rsidP="002F710F">
            <w:pPr>
              <w:spacing w:after="0" w:line="240" w:lineRule="auto"/>
              <w:jc w:val="center"/>
              <w:rPr>
                <w:rFonts w:eastAsia="Times New Roman" w:cs="Arial"/>
                <w:color w:val="000000"/>
                <w:szCs w:val="24"/>
              </w:rPr>
            </w:pPr>
          </w:p>
        </w:tc>
        <w:tc>
          <w:tcPr>
            <w:tcW w:w="2145" w:type="dxa"/>
            <w:tcBorders>
              <w:top w:val="nil"/>
              <w:left w:val="single" w:sz="4" w:space="0" w:color="auto"/>
              <w:bottom w:val="single" w:sz="4" w:space="0" w:color="auto"/>
              <w:right w:val="single" w:sz="4" w:space="0" w:color="auto"/>
            </w:tcBorders>
            <w:shd w:val="clear" w:color="auto" w:fill="auto"/>
            <w:noWrap/>
            <w:vAlign w:val="bottom"/>
          </w:tcPr>
          <w:p w14:paraId="0CC5795D" w14:textId="77777777" w:rsidR="002F710F" w:rsidRPr="00761418" w:rsidRDefault="002F710F" w:rsidP="002F710F">
            <w:pPr>
              <w:spacing w:after="0" w:line="240" w:lineRule="auto"/>
              <w:jc w:val="center"/>
              <w:rPr>
                <w:rFonts w:eastAsia="Times New Roman" w:cs="Arial"/>
                <w:color w:val="000000"/>
                <w:szCs w:val="24"/>
              </w:rPr>
            </w:pPr>
          </w:p>
        </w:tc>
        <w:tc>
          <w:tcPr>
            <w:tcW w:w="2145" w:type="dxa"/>
            <w:tcBorders>
              <w:top w:val="nil"/>
              <w:left w:val="single" w:sz="4" w:space="0" w:color="auto"/>
              <w:bottom w:val="single" w:sz="4" w:space="0" w:color="auto"/>
              <w:right w:val="nil"/>
            </w:tcBorders>
            <w:shd w:val="clear" w:color="auto" w:fill="auto"/>
            <w:noWrap/>
            <w:vAlign w:val="bottom"/>
          </w:tcPr>
          <w:p w14:paraId="0ECD9B1D" w14:textId="77777777" w:rsidR="002F710F" w:rsidRPr="00761418" w:rsidRDefault="002F710F" w:rsidP="002F710F">
            <w:pPr>
              <w:spacing w:after="0" w:line="240" w:lineRule="auto"/>
              <w:jc w:val="center"/>
              <w:rPr>
                <w:rFonts w:eastAsia="Times New Roman" w:cs="Arial"/>
                <w:color w:val="000000"/>
                <w:szCs w:val="24"/>
              </w:rPr>
            </w:pPr>
          </w:p>
        </w:tc>
        <w:tc>
          <w:tcPr>
            <w:tcW w:w="2145" w:type="dxa"/>
            <w:tcBorders>
              <w:top w:val="nil"/>
              <w:left w:val="single" w:sz="4" w:space="0" w:color="auto"/>
              <w:bottom w:val="single" w:sz="4" w:space="0" w:color="auto"/>
              <w:right w:val="single" w:sz="4" w:space="0" w:color="auto"/>
            </w:tcBorders>
            <w:shd w:val="clear" w:color="auto" w:fill="auto"/>
            <w:noWrap/>
            <w:vAlign w:val="bottom"/>
          </w:tcPr>
          <w:p w14:paraId="00C44F1A" w14:textId="77777777" w:rsidR="002F710F" w:rsidRPr="00761418" w:rsidRDefault="002F710F" w:rsidP="002F710F">
            <w:pPr>
              <w:spacing w:after="0" w:line="240" w:lineRule="auto"/>
              <w:jc w:val="center"/>
              <w:rPr>
                <w:rFonts w:eastAsia="Times New Roman" w:cs="Arial"/>
                <w:color w:val="000000"/>
                <w:szCs w:val="24"/>
              </w:rPr>
            </w:pPr>
          </w:p>
        </w:tc>
        <w:tc>
          <w:tcPr>
            <w:tcW w:w="2145" w:type="dxa"/>
            <w:tcBorders>
              <w:top w:val="nil"/>
              <w:left w:val="single" w:sz="4" w:space="0" w:color="auto"/>
              <w:bottom w:val="single" w:sz="4" w:space="0" w:color="auto"/>
              <w:right w:val="single" w:sz="4" w:space="0" w:color="auto"/>
            </w:tcBorders>
            <w:shd w:val="clear" w:color="auto" w:fill="auto"/>
            <w:noWrap/>
            <w:vAlign w:val="bottom"/>
          </w:tcPr>
          <w:p w14:paraId="061B4854" w14:textId="77777777" w:rsidR="002F710F" w:rsidRPr="00761418" w:rsidRDefault="002F710F" w:rsidP="002F710F">
            <w:pPr>
              <w:spacing w:after="0" w:line="240" w:lineRule="auto"/>
              <w:jc w:val="center"/>
              <w:rPr>
                <w:rFonts w:eastAsia="Times New Roman" w:cs="Arial"/>
                <w:color w:val="000000"/>
                <w:szCs w:val="24"/>
              </w:rPr>
            </w:pPr>
          </w:p>
        </w:tc>
      </w:tr>
      <w:tr w:rsidR="002F710F" w:rsidRPr="00761418" w14:paraId="244A5387" w14:textId="77777777" w:rsidTr="002F710F">
        <w:trPr>
          <w:trHeight w:val="422"/>
        </w:trPr>
        <w:tc>
          <w:tcPr>
            <w:tcW w:w="2145" w:type="dxa"/>
            <w:tcBorders>
              <w:top w:val="single" w:sz="4" w:space="0" w:color="auto"/>
              <w:left w:val="single" w:sz="4" w:space="0" w:color="auto"/>
              <w:bottom w:val="nil"/>
              <w:right w:val="single" w:sz="4" w:space="0" w:color="auto"/>
            </w:tcBorders>
            <w:shd w:val="clear" w:color="auto" w:fill="auto"/>
            <w:noWrap/>
            <w:hideMark/>
          </w:tcPr>
          <w:p w14:paraId="7C4424FD" w14:textId="7D0497E6" w:rsidR="002F710F" w:rsidRPr="00761418" w:rsidRDefault="002F710F" w:rsidP="002F710F">
            <w:pPr>
              <w:spacing w:after="0" w:line="240" w:lineRule="auto"/>
              <w:rPr>
                <w:rFonts w:eastAsia="Times New Roman" w:cs="Arial"/>
                <w:b/>
                <w:color w:val="000000"/>
                <w:szCs w:val="24"/>
              </w:rPr>
            </w:pPr>
            <w:r w:rsidRPr="00761418">
              <w:rPr>
                <w:rFonts w:cs="Arial"/>
                <w:b/>
                <w:color w:val="000000"/>
                <w:szCs w:val="24"/>
              </w:rPr>
              <w:t>Transplant rate</w:t>
            </w:r>
          </w:p>
        </w:tc>
        <w:tc>
          <w:tcPr>
            <w:tcW w:w="2145" w:type="dxa"/>
            <w:tcBorders>
              <w:top w:val="single" w:sz="4" w:space="0" w:color="auto"/>
              <w:left w:val="single" w:sz="4" w:space="0" w:color="auto"/>
              <w:bottom w:val="nil"/>
              <w:right w:val="single" w:sz="4" w:space="0" w:color="auto"/>
            </w:tcBorders>
            <w:shd w:val="clear" w:color="auto" w:fill="auto"/>
            <w:noWrap/>
            <w:vAlign w:val="bottom"/>
            <w:hideMark/>
          </w:tcPr>
          <w:p w14:paraId="5D4BFAAA" w14:textId="3444609F" w:rsidR="002F710F" w:rsidRPr="00761418" w:rsidRDefault="002F710F" w:rsidP="002F710F">
            <w:pPr>
              <w:spacing w:after="0" w:line="240" w:lineRule="auto"/>
              <w:jc w:val="center"/>
              <w:rPr>
                <w:rFonts w:eastAsia="Times New Roman" w:cs="Arial"/>
                <w:color w:val="000000"/>
                <w:szCs w:val="24"/>
              </w:rPr>
            </w:pPr>
          </w:p>
        </w:tc>
        <w:tc>
          <w:tcPr>
            <w:tcW w:w="2145" w:type="dxa"/>
            <w:tcBorders>
              <w:top w:val="single" w:sz="4" w:space="0" w:color="auto"/>
              <w:left w:val="single" w:sz="4" w:space="0" w:color="auto"/>
              <w:bottom w:val="nil"/>
              <w:right w:val="single" w:sz="4" w:space="0" w:color="auto"/>
            </w:tcBorders>
            <w:shd w:val="clear" w:color="auto" w:fill="auto"/>
            <w:noWrap/>
            <w:vAlign w:val="bottom"/>
            <w:hideMark/>
          </w:tcPr>
          <w:p w14:paraId="46DC363B" w14:textId="3E3B7639" w:rsidR="002F710F" w:rsidRPr="00761418" w:rsidRDefault="002F710F" w:rsidP="002F710F">
            <w:pPr>
              <w:spacing w:after="0" w:line="240" w:lineRule="auto"/>
              <w:jc w:val="center"/>
              <w:rPr>
                <w:rFonts w:eastAsia="Times New Roman" w:cs="Arial"/>
                <w:color w:val="000000"/>
                <w:szCs w:val="24"/>
              </w:rPr>
            </w:pPr>
          </w:p>
        </w:tc>
        <w:tc>
          <w:tcPr>
            <w:tcW w:w="2145" w:type="dxa"/>
            <w:tcBorders>
              <w:top w:val="single" w:sz="4" w:space="0" w:color="auto"/>
              <w:left w:val="single" w:sz="4" w:space="0" w:color="auto"/>
              <w:bottom w:val="nil"/>
              <w:right w:val="single" w:sz="4" w:space="0" w:color="auto"/>
            </w:tcBorders>
            <w:shd w:val="clear" w:color="auto" w:fill="auto"/>
            <w:noWrap/>
            <w:vAlign w:val="bottom"/>
            <w:hideMark/>
          </w:tcPr>
          <w:p w14:paraId="0919538C" w14:textId="0A3346F8" w:rsidR="002F710F" w:rsidRPr="00761418" w:rsidRDefault="002F710F" w:rsidP="002F710F">
            <w:pPr>
              <w:spacing w:after="0" w:line="240" w:lineRule="auto"/>
              <w:jc w:val="center"/>
              <w:rPr>
                <w:rFonts w:eastAsia="Times New Roman" w:cs="Arial"/>
                <w:color w:val="000000"/>
                <w:szCs w:val="24"/>
              </w:rPr>
            </w:pPr>
          </w:p>
        </w:tc>
        <w:tc>
          <w:tcPr>
            <w:tcW w:w="2145" w:type="dxa"/>
            <w:tcBorders>
              <w:top w:val="single" w:sz="4" w:space="0" w:color="auto"/>
              <w:left w:val="single" w:sz="4" w:space="0" w:color="auto"/>
              <w:bottom w:val="nil"/>
              <w:right w:val="single" w:sz="4" w:space="0" w:color="auto"/>
            </w:tcBorders>
            <w:shd w:val="clear" w:color="auto" w:fill="auto"/>
            <w:noWrap/>
            <w:vAlign w:val="bottom"/>
            <w:hideMark/>
          </w:tcPr>
          <w:p w14:paraId="2BA6DABB" w14:textId="6C365EE6" w:rsidR="002F710F" w:rsidRPr="00761418" w:rsidRDefault="002F710F" w:rsidP="002F710F">
            <w:pPr>
              <w:spacing w:after="0" w:line="240" w:lineRule="auto"/>
              <w:jc w:val="center"/>
              <w:rPr>
                <w:rFonts w:eastAsia="Times New Roman" w:cs="Arial"/>
                <w:color w:val="000000"/>
                <w:szCs w:val="24"/>
              </w:rPr>
            </w:pPr>
          </w:p>
        </w:tc>
        <w:tc>
          <w:tcPr>
            <w:tcW w:w="2145" w:type="dxa"/>
            <w:tcBorders>
              <w:top w:val="single" w:sz="4" w:space="0" w:color="auto"/>
              <w:left w:val="single" w:sz="4" w:space="0" w:color="auto"/>
              <w:bottom w:val="nil"/>
              <w:right w:val="single" w:sz="4" w:space="0" w:color="auto"/>
            </w:tcBorders>
            <w:shd w:val="clear" w:color="auto" w:fill="auto"/>
            <w:noWrap/>
            <w:vAlign w:val="bottom"/>
            <w:hideMark/>
          </w:tcPr>
          <w:p w14:paraId="3B220C9A" w14:textId="7CE39057" w:rsidR="002F710F" w:rsidRPr="00761418" w:rsidRDefault="002F710F" w:rsidP="002F710F">
            <w:pPr>
              <w:spacing w:after="0" w:line="240" w:lineRule="auto"/>
              <w:jc w:val="center"/>
              <w:rPr>
                <w:rFonts w:eastAsia="Times New Roman" w:cs="Arial"/>
                <w:color w:val="000000"/>
                <w:szCs w:val="24"/>
              </w:rPr>
            </w:pPr>
          </w:p>
        </w:tc>
      </w:tr>
      <w:tr w:rsidR="002F710F" w:rsidRPr="00761418" w14:paraId="37F4D6F2" w14:textId="77777777" w:rsidTr="002F710F">
        <w:trPr>
          <w:trHeight w:val="55"/>
        </w:trPr>
        <w:tc>
          <w:tcPr>
            <w:tcW w:w="2145" w:type="dxa"/>
            <w:tcBorders>
              <w:top w:val="nil"/>
              <w:left w:val="single" w:sz="4" w:space="0" w:color="auto"/>
              <w:bottom w:val="nil"/>
              <w:right w:val="single" w:sz="4" w:space="0" w:color="auto"/>
            </w:tcBorders>
            <w:shd w:val="clear" w:color="auto" w:fill="auto"/>
            <w:noWrap/>
            <w:vAlign w:val="bottom"/>
          </w:tcPr>
          <w:p w14:paraId="5F7D2463" w14:textId="77777777" w:rsidR="002F710F" w:rsidRPr="00761418" w:rsidRDefault="002F710F" w:rsidP="002F710F">
            <w:pPr>
              <w:spacing w:after="0" w:line="240" w:lineRule="auto"/>
              <w:rPr>
                <w:rFonts w:eastAsia="Times New Roman" w:cs="Arial"/>
                <w:color w:val="000000"/>
                <w:szCs w:val="24"/>
              </w:rPr>
            </w:pPr>
          </w:p>
        </w:tc>
        <w:tc>
          <w:tcPr>
            <w:tcW w:w="2145" w:type="dxa"/>
            <w:tcBorders>
              <w:top w:val="nil"/>
              <w:left w:val="single" w:sz="4" w:space="0" w:color="auto"/>
              <w:bottom w:val="nil"/>
              <w:right w:val="single" w:sz="4" w:space="0" w:color="auto"/>
            </w:tcBorders>
            <w:shd w:val="clear" w:color="auto" w:fill="auto"/>
            <w:noWrap/>
            <w:vAlign w:val="bottom"/>
          </w:tcPr>
          <w:p w14:paraId="5EE9C7A0" w14:textId="4125644C" w:rsidR="002F710F" w:rsidRPr="00761418" w:rsidRDefault="002F710F" w:rsidP="002F710F">
            <w:pPr>
              <w:spacing w:after="0" w:line="240" w:lineRule="auto"/>
              <w:jc w:val="center"/>
              <w:rPr>
                <w:rFonts w:eastAsia="Times New Roman" w:cs="Arial"/>
                <w:color w:val="000000"/>
                <w:szCs w:val="24"/>
              </w:rPr>
            </w:pPr>
            <w:r w:rsidRPr="00761418">
              <w:rPr>
                <w:rFonts w:cs="Arial"/>
                <w:color w:val="000000"/>
                <w:szCs w:val="24"/>
              </w:rPr>
              <w:t>13.5 (10.1 to 17.0)</w:t>
            </w:r>
          </w:p>
        </w:tc>
        <w:tc>
          <w:tcPr>
            <w:tcW w:w="2145" w:type="dxa"/>
            <w:tcBorders>
              <w:top w:val="nil"/>
              <w:left w:val="single" w:sz="4" w:space="0" w:color="auto"/>
              <w:bottom w:val="nil"/>
              <w:right w:val="single" w:sz="4" w:space="0" w:color="auto"/>
            </w:tcBorders>
            <w:shd w:val="clear" w:color="auto" w:fill="auto"/>
            <w:noWrap/>
            <w:vAlign w:val="bottom"/>
          </w:tcPr>
          <w:p w14:paraId="499C20E9" w14:textId="528599D7" w:rsidR="002F710F" w:rsidRPr="00761418" w:rsidRDefault="002F710F" w:rsidP="002F710F">
            <w:pPr>
              <w:spacing w:after="0" w:line="240" w:lineRule="auto"/>
              <w:jc w:val="center"/>
              <w:rPr>
                <w:rFonts w:eastAsia="Times New Roman" w:cs="Arial"/>
                <w:color w:val="000000"/>
                <w:szCs w:val="24"/>
              </w:rPr>
            </w:pPr>
            <w:r w:rsidRPr="00761418">
              <w:rPr>
                <w:rFonts w:cs="Arial"/>
                <w:color w:val="000000"/>
                <w:szCs w:val="24"/>
              </w:rPr>
              <w:t>40.9 (13.0 to 75.7)</w:t>
            </w:r>
          </w:p>
        </w:tc>
        <w:tc>
          <w:tcPr>
            <w:tcW w:w="2145" w:type="dxa"/>
            <w:tcBorders>
              <w:top w:val="nil"/>
              <w:left w:val="single" w:sz="4" w:space="0" w:color="auto"/>
              <w:bottom w:val="nil"/>
              <w:right w:val="single" w:sz="4" w:space="0" w:color="auto"/>
            </w:tcBorders>
            <w:shd w:val="clear" w:color="auto" w:fill="auto"/>
            <w:noWrap/>
            <w:vAlign w:val="bottom"/>
          </w:tcPr>
          <w:p w14:paraId="05A7780B" w14:textId="6A6BABF6" w:rsidR="002F710F" w:rsidRPr="00761418" w:rsidRDefault="002F710F" w:rsidP="002F710F">
            <w:pPr>
              <w:spacing w:after="0" w:line="240" w:lineRule="auto"/>
              <w:jc w:val="center"/>
              <w:rPr>
                <w:rFonts w:eastAsia="Times New Roman" w:cs="Arial"/>
                <w:color w:val="000000"/>
                <w:szCs w:val="24"/>
              </w:rPr>
            </w:pPr>
            <w:r w:rsidRPr="00761418">
              <w:rPr>
                <w:rFonts w:cs="Arial"/>
                <w:color w:val="000000"/>
                <w:szCs w:val="24"/>
              </w:rPr>
              <w:t>4.5 (2.5 to 6.6)</w:t>
            </w:r>
          </w:p>
        </w:tc>
        <w:tc>
          <w:tcPr>
            <w:tcW w:w="2145" w:type="dxa"/>
            <w:tcBorders>
              <w:top w:val="nil"/>
              <w:left w:val="single" w:sz="4" w:space="0" w:color="auto"/>
              <w:bottom w:val="nil"/>
              <w:right w:val="single" w:sz="4" w:space="0" w:color="auto"/>
            </w:tcBorders>
            <w:shd w:val="clear" w:color="auto" w:fill="auto"/>
            <w:noWrap/>
            <w:vAlign w:val="bottom"/>
          </w:tcPr>
          <w:p w14:paraId="04B4F8F8" w14:textId="3FB0FAEC" w:rsidR="002F710F" w:rsidRPr="00761418" w:rsidRDefault="002F710F" w:rsidP="002F710F">
            <w:pPr>
              <w:spacing w:after="0" w:line="240" w:lineRule="auto"/>
              <w:jc w:val="center"/>
              <w:rPr>
                <w:rFonts w:eastAsia="Times New Roman" w:cs="Arial"/>
                <w:color w:val="000000"/>
                <w:szCs w:val="24"/>
              </w:rPr>
            </w:pPr>
            <w:r w:rsidRPr="00761418">
              <w:rPr>
                <w:rFonts w:cs="Arial"/>
                <w:color w:val="000000"/>
                <w:szCs w:val="24"/>
              </w:rPr>
              <w:t>-1.2 (-4.9 to 2.7)</w:t>
            </w:r>
          </w:p>
        </w:tc>
        <w:tc>
          <w:tcPr>
            <w:tcW w:w="2145" w:type="dxa"/>
            <w:tcBorders>
              <w:top w:val="nil"/>
              <w:left w:val="single" w:sz="4" w:space="0" w:color="auto"/>
              <w:bottom w:val="nil"/>
              <w:right w:val="single" w:sz="4" w:space="0" w:color="auto"/>
            </w:tcBorders>
            <w:shd w:val="clear" w:color="auto" w:fill="auto"/>
            <w:noWrap/>
            <w:vAlign w:val="bottom"/>
          </w:tcPr>
          <w:p w14:paraId="2DBFF3B3" w14:textId="0397018F" w:rsidR="002F710F" w:rsidRPr="00761418" w:rsidRDefault="002F710F" w:rsidP="002F710F">
            <w:pPr>
              <w:spacing w:after="0" w:line="240" w:lineRule="auto"/>
              <w:jc w:val="center"/>
              <w:rPr>
                <w:rFonts w:eastAsia="Times New Roman" w:cs="Arial"/>
                <w:color w:val="000000"/>
                <w:szCs w:val="24"/>
              </w:rPr>
            </w:pPr>
            <w:r w:rsidRPr="00761418">
              <w:rPr>
                <w:rFonts w:cs="Arial"/>
                <w:color w:val="000000"/>
                <w:szCs w:val="24"/>
              </w:rPr>
              <w:t>10.4 (7.6 to 13.3)</w:t>
            </w:r>
          </w:p>
        </w:tc>
      </w:tr>
      <w:tr w:rsidR="002F710F" w:rsidRPr="00761418" w14:paraId="1BF2B61C" w14:textId="77777777" w:rsidTr="002F710F">
        <w:trPr>
          <w:trHeight w:val="55"/>
        </w:trPr>
        <w:tc>
          <w:tcPr>
            <w:tcW w:w="2145" w:type="dxa"/>
            <w:tcBorders>
              <w:top w:val="nil"/>
              <w:left w:val="single" w:sz="4" w:space="0" w:color="auto"/>
              <w:bottom w:val="nil"/>
              <w:right w:val="single" w:sz="4" w:space="0" w:color="auto"/>
            </w:tcBorders>
            <w:shd w:val="clear" w:color="auto" w:fill="auto"/>
            <w:noWrap/>
            <w:vAlign w:val="bottom"/>
          </w:tcPr>
          <w:p w14:paraId="57A6F44D" w14:textId="77777777" w:rsidR="002F710F" w:rsidRPr="00761418" w:rsidRDefault="002F710F" w:rsidP="002F710F">
            <w:pPr>
              <w:spacing w:after="0" w:line="240" w:lineRule="auto"/>
              <w:rPr>
                <w:rFonts w:eastAsia="Times New Roman" w:cs="Arial"/>
                <w:color w:val="000000"/>
                <w:szCs w:val="24"/>
              </w:rPr>
            </w:pPr>
          </w:p>
        </w:tc>
        <w:tc>
          <w:tcPr>
            <w:tcW w:w="2145" w:type="dxa"/>
            <w:tcBorders>
              <w:top w:val="nil"/>
              <w:left w:val="single" w:sz="4" w:space="0" w:color="auto"/>
              <w:bottom w:val="nil"/>
              <w:right w:val="single" w:sz="4" w:space="0" w:color="auto"/>
            </w:tcBorders>
            <w:shd w:val="clear" w:color="auto" w:fill="auto"/>
            <w:noWrap/>
            <w:vAlign w:val="bottom"/>
          </w:tcPr>
          <w:p w14:paraId="3AF70C15" w14:textId="53238BE9" w:rsidR="002F710F" w:rsidRPr="00761418" w:rsidRDefault="002F710F" w:rsidP="002F710F">
            <w:pPr>
              <w:spacing w:after="0" w:line="240" w:lineRule="auto"/>
              <w:jc w:val="center"/>
              <w:rPr>
                <w:rFonts w:eastAsia="Times New Roman" w:cs="Arial"/>
                <w:color w:val="000000"/>
                <w:szCs w:val="24"/>
              </w:rPr>
            </w:pPr>
            <w:r w:rsidRPr="00761418">
              <w:rPr>
                <w:rFonts w:cs="Arial"/>
                <w:i/>
                <w:iCs/>
                <w:color w:val="000000"/>
                <w:szCs w:val="24"/>
              </w:rPr>
              <w:t>1987 - 2000</w:t>
            </w:r>
          </w:p>
        </w:tc>
        <w:tc>
          <w:tcPr>
            <w:tcW w:w="2145" w:type="dxa"/>
            <w:tcBorders>
              <w:top w:val="nil"/>
              <w:left w:val="single" w:sz="4" w:space="0" w:color="auto"/>
              <w:bottom w:val="nil"/>
              <w:right w:val="single" w:sz="4" w:space="0" w:color="auto"/>
            </w:tcBorders>
            <w:shd w:val="clear" w:color="auto" w:fill="auto"/>
            <w:noWrap/>
            <w:vAlign w:val="bottom"/>
          </w:tcPr>
          <w:p w14:paraId="329760DD" w14:textId="15BB55FE" w:rsidR="002F710F" w:rsidRPr="00761418" w:rsidRDefault="002F710F" w:rsidP="002F710F">
            <w:pPr>
              <w:spacing w:after="0" w:line="240" w:lineRule="auto"/>
              <w:jc w:val="center"/>
              <w:rPr>
                <w:rFonts w:eastAsia="Times New Roman" w:cs="Arial"/>
                <w:color w:val="000000"/>
                <w:szCs w:val="24"/>
              </w:rPr>
            </w:pPr>
            <w:r w:rsidRPr="00761418">
              <w:rPr>
                <w:rFonts w:cs="Arial"/>
                <w:i/>
                <w:iCs/>
                <w:color w:val="000000"/>
                <w:szCs w:val="24"/>
              </w:rPr>
              <w:t>2000 - 2003</w:t>
            </w:r>
          </w:p>
        </w:tc>
        <w:tc>
          <w:tcPr>
            <w:tcW w:w="2145" w:type="dxa"/>
            <w:tcBorders>
              <w:top w:val="nil"/>
              <w:left w:val="single" w:sz="4" w:space="0" w:color="auto"/>
              <w:bottom w:val="nil"/>
              <w:right w:val="single" w:sz="4" w:space="0" w:color="auto"/>
            </w:tcBorders>
            <w:shd w:val="clear" w:color="auto" w:fill="auto"/>
            <w:noWrap/>
            <w:vAlign w:val="bottom"/>
          </w:tcPr>
          <w:p w14:paraId="746BD2F4" w14:textId="4EDEBDC6" w:rsidR="002F710F" w:rsidRPr="00761418" w:rsidRDefault="002F710F" w:rsidP="002F710F">
            <w:pPr>
              <w:spacing w:after="0" w:line="240" w:lineRule="auto"/>
              <w:jc w:val="center"/>
              <w:rPr>
                <w:rFonts w:eastAsia="Times New Roman" w:cs="Arial"/>
                <w:color w:val="000000"/>
                <w:szCs w:val="24"/>
              </w:rPr>
            </w:pPr>
            <w:r w:rsidRPr="00761418">
              <w:rPr>
                <w:rFonts w:cs="Arial"/>
                <w:i/>
                <w:iCs/>
                <w:color w:val="000000"/>
                <w:szCs w:val="24"/>
              </w:rPr>
              <w:t>2003 - 2011</w:t>
            </w:r>
          </w:p>
        </w:tc>
        <w:tc>
          <w:tcPr>
            <w:tcW w:w="2145" w:type="dxa"/>
            <w:tcBorders>
              <w:top w:val="nil"/>
              <w:left w:val="single" w:sz="4" w:space="0" w:color="auto"/>
              <w:bottom w:val="nil"/>
              <w:right w:val="single" w:sz="4" w:space="0" w:color="auto"/>
            </w:tcBorders>
            <w:shd w:val="clear" w:color="auto" w:fill="auto"/>
            <w:noWrap/>
            <w:vAlign w:val="bottom"/>
          </w:tcPr>
          <w:p w14:paraId="6788BE38" w14:textId="5223403A" w:rsidR="002F710F" w:rsidRPr="00761418" w:rsidRDefault="002F710F" w:rsidP="002F710F">
            <w:pPr>
              <w:spacing w:after="0" w:line="240" w:lineRule="auto"/>
              <w:jc w:val="center"/>
              <w:rPr>
                <w:rFonts w:eastAsia="Times New Roman" w:cs="Arial"/>
                <w:color w:val="000000"/>
                <w:szCs w:val="24"/>
              </w:rPr>
            </w:pPr>
            <w:r w:rsidRPr="00761418">
              <w:rPr>
                <w:rFonts w:cs="Arial"/>
                <w:i/>
                <w:iCs/>
                <w:color w:val="000000"/>
                <w:szCs w:val="24"/>
              </w:rPr>
              <w:t>2011 - 2017</w:t>
            </w:r>
          </w:p>
        </w:tc>
        <w:tc>
          <w:tcPr>
            <w:tcW w:w="2145" w:type="dxa"/>
            <w:tcBorders>
              <w:top w:val="nil"/>
              <w:left w:val="single" w:sz="4" w:space="0" w:color="auto"/>
              <w:bottom w:val="nil"/>
              <w:right w:val="single" w:sz="4" w:space="0" w:color="auto"/>
            </w:tcBorders>
            <w:shd w:val="clear" w:color="auto" w:fill="auto"/>
            <w:noWrap/>
            <w:vAlign w:val="bottom"/>
          </w:tcPr>
          <w:p w14:paraId="03F6539F" w14:textId="2D63CF1B" w:rsidR="002F710F" w:rsidRPr="00761418" w:rsidRDefault="002F710F" w:rsidP="002F710F">
            <w:pPr>
              <w:spacing w:after="0" w:line="240" w:lineRule="auto"/>
              <w:jc w:val="center"/>
              <w:rPr>
                <w:rFonts w:eastAsia="Times New Roman" w:cs="Arial"/>
                <w:color w:val="000000"/>
                <w:szCs w:val="24"/>
              </w:rPr>
            </w:pPr>
            <w:r w:rsidRPr="00761418">
              <w:rPr>
                <w:rFonts w:cs="Arial"/>
                <w:i/>
                <w:iCs/>
                <w:color w:val="000000"/>
                <w:szCs w:val="24"/>
              </w:rPr>
              <w:t>1987 - 2017</w:t>
            </w:r>
          </w:p>
        </w:tc>
      </w:tr>
      <w:tr w:rsidR="002F710F" w:rsidRPr="00761418" w14:paraId="24B349C5" w14:textId="77777777" w:rsidTr="002F710F">
        <w:trPr>
          <w:trHeight w:val="55"/>
        </w:trPr>
        <w:tc>
          <w:tcPr>
            <w:tcW w:w="2145" w:type="dxa"/>
            <w:tcBorders>
              <w:top w:val="nil"/>
              <w:left w:val="single" w:sz="4" w:space="0" w:color="auto"/>
              <w:bottom w:val="single" w:sz="4" w:space="0" w:color="auto"/>
              <w:right w:val="single" w:sz="4" w:space="0" w:color="auto"/>
            </w:tcBorders>
            <w:shd w:val="clear" w:color="auto" w:fill="auto"/>
            <w:noWrap/>
            <w:vAlign w:val="bottom"/>
          </w:tcPr>
          <w:p w14:paraId="358E1835" w14:textId="363B0CB1" w:rsidR="002F710F" w:rsidRPr="00761418" w:rsidRDefault="002F710F" w:rsidP="002F710F">
            <w:pPr>
              <w:spacing w:after="0" w:line="240" w:lineRule="auto"/>
              <w:rPr>
                <w:rFonts w:eastAsia="Times New Roman" w:cs="Arial"/>
                <w:color w:val="000000"/>
                <w:szCs w:val="24"/>
              </w:rPr>
            </w:pPr>
          </w:p>
        </w:tc>
        <w:tc>
          <w:tcPr>
            <w:tcW w:w="2145" w:type="dxa"/>
            <w:tcBorders>
              <w:top w:val="nil"/>
              <w:left w:val="single" w:sz="4" w:space="0" w:color="auto"/>
              <w:bottom w:val="single" w:sz="4" w:space="0" w:color="auto"/>
              <w:right w:val="single" w:sz="4" w:space="0" w:color="auto"/>
            </w:tcBorders>
            <w:shd w:val="clear" w:color="auto" w:fill="auto"/>
            <w:noWrap/>
            <w:vAlign w:val="bottom"/>
          </w:tcPr>
          <w:p w14:paraId="27437B74" w14:textId="77777777" w:rsidR="002F710F" w:rsidRPr="00761418" w:rsidRDefault="002F710F" w:rsidP="002F710F">
            <w:pPr>
              <w:spacing w:after="0" w:line="240" w:lineRule="auto"/>
              <w:jc w:val="center"/>
              <w:rPr>
                <w:rFonts w:eastAsia="Times New Roman" w:cs="Arial"/>
                <w:color w:val="000000"/>
                <w:szCs w:val="24"/>
              </w:rPr>
            </w:pPr>
          </w:p>
        </w:tc>
        <w:tc>
          <w:tcPr>
            <w:tcW w:w="2145" w:type="dxa"/>
            <w:tcBorders>
              <w:top w:val="nil"/>
              <w:left w:val="single" w:sz="4" w:space="0" w:color="auto"/>
              <w:bottom w:val="single" w:sz="4" w:space="0" w:color="auto"/>
              <w:right w:val="single" w:sz="4" w:space="0" w:color="auto"/>
            </w:tcBorders>
            <w:shd w:val="clear" w:color="auto" w:fill="auto"/>
            <w:noWrap/>
            <w:vAlign w:val="bottom"/>
          </w:tcPr>
          <w:p w14:paraId="62E3CE94" w14:textId="77777777" w:rsidR="002F710F" w:rsidRPr="00761418" w:rsidRDefault="002F710F" w:rsidP="002F710F">
            <w:pPr>
              <w:spacing w:after="0" w:line="240" w:lineRule="auto"/>
              <w:jc w:val="center"/>
              <w:rPr>
                <w:rFonts w:eastAsia="Times New Roman" w:cs="Arial"/>
                <w:color w:val="000000"/>
                <w:szCs w:val="24"/>
              </w:rPr>
            </w:pPr>
          </w:p>
        </w:tc>
        <w:tc>
          <w:tcPr>
            <w:tcW w:w="2145" w:type="dxa"/>
            <w:tcBorders>
              <w:top w:val="nil"/>
              <w:left w:val="single" w:sz="4" w:space="0" w:color="auto"/>
              <w:bottom w:val="single" w:sz="4" w:space="0" w:color="auto"/>
              <w:right w:val="single" w:sz="4" w:space="0" w:color="auto"/>
            </w:tcBorders>
            <w:shd w:val="clear" w:color="auto" w:fill="auto"/>
            <w:noWrap/>
            <w:vAlign w:val="bottom"/>
          </w:tcPr>
          <w:p w14:paraId="587901DE" w14:textId="77777777" w:rsidR="002F710F" w:rsidRPr="00761418" w:rsidRDefault="002F710F" w:rsidP="002F710F">
            <w:pPr>
              <w:spacing w:after="0" w:line="240" w:lineRule="auto"/>
              <w:jc w:val="center"/>
              <w:rPr>
                <w:rFonts w:eastAsia="Times New Roman" w:cs="Arial"/>
                <w:color w:val="000000"/>
                <w:szCs w:val="24"/>
              </w:rPr>
            </w:pPr>
          </w:p>
        </w:tc>
        <w:tc>
          <w:tcPr>
            <w:tcW w:w="2145" w:type="dxa"/>
            <w:tcBorders>
              <w:top w:val="nil"/>
              <w:left w:val="single" w:sz="4" w:space="0" w:color="auto"/>
              <w:bottom w:val="single" w:sz="4" w:space="0" w:color="auto"/>
              <w:right w:val="single" w:sz="4" w:space="0" w:color="auto"/>
            </w:tcBorders>
            <w:shd w:val="clear" w:color="auto" w:fill="auto"/>
            <w:noWrap/>
            <w:vAlign w:val="bottom"/>
          </w:tcPr>
          <w:p w14:paraId="35499663" w14:textId="77777777" w:rsidR="002F710F" w:rsidRPr="00761418" w:rsidRDefault="002F710F" w:rsidP="002F710F">
            <w:pPr>
              <w:spacing w:after="0" w:line="240" w:lineRule="auto"/>
              <w:jc w:val="center"/>
              <w:rPr>
                <w:rFonts w:eastAsia="Times New Roman" w:cs="Arial"/>
                <w:color w:val="000000"/>
                <w:szCs w:val="24"/>
              </w:rPr>
            </w:pPr>
          </w:p>
        </w:tc>
        <w:tc>
          <w:tcPr>
            <w:tcW w:w="2145" w:type="dxa"/>
            <w:tcBorders>
              <w:top w:val="nil"/>
              <w:left w:val="single" w:sz="4" w:space="0" w:color="auto"/>
              <w:bottom w:val="single" w:sz="4" w:space="0" w:color="auto"/>
              <w:right w:val="single" w:sz="4" w:space="0" w:color="auto"/>
            </w:tcBorders>
            <w:shd w:val="clear" w:color="auto" w:fill="auto"/>
            <w:noWrap/>
            <w:vAlign w:val="bottom"/>
          </w:tcPr>
          <w:p w14:paraId="631B2DA7" w14:textId="77777777" w:rsidR="002F710F" w:rsidRPr="00761418" w:rsidRDefault="002F710F" w:rsidP="002F710F">
            <w:pPr>
              <w:spacing w:after="0" w:line="240" w:lineRule="auto"/>
              <w:jc w:val="center"/>
              <w:rPr>
                <w:rFonts w:eastAsia="Times New Roman" w:cs="Arial"/>
                <w:color w:val="000000"/>
                <w:szCs w:val="24"/>
              </w:rPr>
            </w:pPr>
          </w:p>
        </w:tc>
      </w:tr>
    </w:tbl>
    <w:p w14:paraId="69566026" w14:textId="77777777" w:rsidR="00E27F45" w:rsidRPr="00761418" w:rsidRDefault="00E27F45" w:rsidP="00C150B3">
      <w:pPr>
        <w:tabs>
          <w:tab w:val="left" w:pos="907"/>
        </w:tabs>
        <w:rPr>
          <w:rFonts w:cs="Arial"/>
          <w:szCs w:val="24"/>
        </w:rPr>
      </w:pPr>
    </w:p>
    <w:p w14:paraId="555A8B92" w14:textId="04AF0311" w:rsidR="00195C94" w:rsidRDefault="00195C94" w:rsidP="004D0363">
      <w:pPr>
        <w:tabs>
          <w:tab w:val="left" w:pos="907"/>
        </w:tabs>
        <w:rPr>
          <w:rFonts w:cs="Arial"/>
          <w:szCs w:val="24"/>
        </w:rPr>
      </w:pPr>
      <w:r w:rsidRPr="00761418">
        <w:rPr>
          <w:rFonts w:cs="Arial"/>
          <w:b/>
          <w:szCs w:val="24"/>
        </w:rPr>
        <w:t>Abbreviations:</w:t>
      </w:r>
      <w:r w:rsidRPr="00761418">
        <w:rPr>
          <w:rFonts w:cs="Arial"/>
          <w:szCs w:val="24"/>
        </w:rPr>
        <w:t xml:space="preserve">  AAPC, average annual percent change; APC, annual percent change; CI, confidence intervals; HCC, hepatocellular carcinoma; IBM, incidence-based mortality</w:t>
      </w:r>
      <w:r w:rsidR="00496395">
        <w:rPr>
          <w:rFonts w:cs="Arial"/>
          <w:szCs w:val="24"/>
        </w:rPr>
        <w:t>.</w:t>
      </w:r>
    </w:p>
    <w:p w14:paraId="4915445E" w14:textId="006E8D87" w:rsidR="00496395" w:rsidRDefault="00496395" w:rsidP="004D0363">
      <w:pPr>
        <w:tabs>
          <w:tab w:val="left" w:pos="907"/>
        </w:tabs>
        <w:rPr>
          <w:rFonts w:cs="Arial"/>
          <w:szCs w:val="24"/>
        </w:rPr>
      </w:pPr>
      <w:r>
        <w:rPr>
          <w:rFonts w:cs="Arial"/>
          <w:szCs w:val="24"/>
        </w:rPr>
        <w:t>Note: Trends noted in column headers reflect trends between calendar years mentioned below the APCs.</w:t>
      </w:r>
      <w:r w:rsidR="004D0363">
        <w:rPr>
          <w:rFonts w:cs="Arial"/>
          <w:szCs w:val="24"/>
        </w:rPr>
        <w:t xml:space="preserve"> For example, Trend 1 for incidence rate of local stage HCC reflects an annual 10.2% increase in incidence rate between 1987 and 2006.  </w:t>
      </w:r>
    </w:p>
    <w:p w14:paraId="4D66D43A" w14:textId="514A1D0F" w:rsidR="00496395" w:rsidRPr="00761418" w:rsidRDefault="00496395" w:rsidP="00C150B3">
      <w:pPr>
        <w:tabs>
          <w:tab w:val="left" w:pos="907"/>
        </w:tabs>
        <w:rPr>
          <w:rFonts w:cs="Arial"/>
          <w:szCs w:val="24"/>
        </w:rPr>
        <w:sectPr w:rsidR="00496395" w:rsidRPr="00761418" w:rsidSect="000837CF">
          <w:pgSz w:w="15840" w:h="12240" w:orient="landscape"/>
          <w:pgMar w:top="1440" w:right="1440" w:bottom="1440" w:left="1440" w:header="720" w:footer="720" w:gutter="0"/>
          <w:cols w:space="720"/>
          <w:docGrid w:linePitch="360"/>
        </w:sectPr>
      </w:pPr>
    </w:p>
    <w:p w14:paraId="4C1A5A52" w14:textId="297165B6" w:rsidR="00856E7D" w:rsidRPr="00761418" w:rsidRDefault="00761418" w:rsidP="00856E7D">
      <w:pPr>
        <w:rPr>
          <w:rFonts w:cs="Arial"/>
          <w:b/>
          <w:szCs w:val="24"/>
        </w:rPr>
      </w:pPr>
      <w:r>
        <w:rPr>
          <w:b/>
          <w:szCs w:val="24"/>
        </w:rPr>
        <w:lastRenderedPageBreak/>
        <w:t xml:space="preserve">Supplementary </w:t>
      </w:r>
      <w:r w:rsidR="00856E7D" w:rsidRPr="00761418">
        <w:rPr>
          <w:rFonts w:cs="Arial"/>
          <w:b/>
          <w:szCs w:val="24"/>
        </w:rPr>
        <w:t xml:space="preserve">Figure </w:t>
      </w:r>
      <w:r w:rsidR="00C926C4" w:rsidRPr="00761418">
        <w:rPr>
          <w:rFonts w:cs="Arial"/>
          <w:b/>
          <w:szCs w:val="24"/>
        </w:rPr>
        <w:t>1</w:t>
      </w:r>
      <w:r w:rsidR="00856E7D" w:rsidRPr="00761418">
        <w:rPr>
          <w:rFonts w:cs="Arial"/>
          <w:b/>
          <w:szCs w:val="24"/>
        </w:rPr>
        <w:t>: Incidence and IBM rates of HCC according to stage and calendar year of cancer diagnosis.</w:t>
      </w:r>
    </w:p>
    <w:p w14:paraId="2A07E045" w14:textId="189B5729" w:rsidR="00856E7D" w:rsidRPr="00761418" w:rsidRDefault="00DB0685" w:rsidP="00856E7D">
      <w:pPr>
        <w:rPr>
          <w:rFonts w:cs="Arial"/>
          <w:szCs w:val="24"/>
        </w:rPr>
      </w:pPr>
      <w:r>
        <w:rPr>
          <w:rFonts w:cs="Arial"/>
          <w:b/>
          <w:szCs w:val="24"/>
        </w:rPr>
        <w:t xml:space="preserve">Supplementary </w:t>
      </w:r>
      <w:r w:rsidR="00856E7D" w:rsidRPr="00761418">
        <w:rPr>
          <w:rFonts w:cs="Arial"/>
          <w:b/>
          <w:szCs w:val="24"/>
        </w:rPr>
        <w:t xml:space="preserve">Figure </w:t>
      </w:r>
      <w:r w:rsidR="00C926C4" w:rsidRPr="00761418">
        <w:rPr>
          <w:rFonts w:cs="Arial"/>
          <w:b/>
          <w:szCs w:val="24"/>
        </w:rPr>
        <w:t>1</w:t>
      </w:r>
      <w:r w:rsidR="00856E7D" w:rsidRPr="00761418">
        <w:rPr>
          <w:rFonts w:cs="Arial"/>
          <w:b/>
          <w:szCs w:val="24"/>
        </w:rPr>
        <w:t xml:space="preserve"> legend:</w:t>
      </w:r>
      <w:r w:rsidR="00856E7D" w:rsidRPr="00761418">
        <w:rPr>
          <w:rFonts w:cs="Arial"/>
          <w:szCs w:val="24"/>
        </w:rPr>
        <w:t xml:space="preserve"> The figure represents the age-standardized (2000 US population) incidence and IBM rates of HCC according to calendar year or diagnosis or death, respectively. Rates are presented in separate panels by stage at cancer diagnosis: Local (panel A), regional (panel B), distant (panel C), and unstaged (panel D). Overall, incidence increased </w:t>
      </w:r>
      <w:r w:rsidR="00C926C4" w:rsidRPr="00761418">
        <w:rPr>
          <w:rFonts w:cs="Arial"/>
          <w:szCs w:val="24"/>
        </w:rPr>
        <w:t xml:space="preserve">significantly </w:t>
      </w:r>
      <w:r w:rsidR="00856E7D" w:rsidRPr="00761418">
        <w:rPr>
          <w:rFonts w:cs="Arial"/>
          <w:szCs w:val="24"/>
        </w:rPr>
        <w:t xml:space="preserve">for </w:t>
      </w:r>
      <w:r w:rsidR="00C926C4" w:rsidRPr="00761418">
        <w:rPr>
          <w:rFonts w:cs="Arial"/>
          <w:szCs w:val="24"/>
        </w:rPr>
        <w:t>localized (AAPC, 7.1%), regional (AAPC, 5.6%), and distant stage HCC (AAPC, 2.5%). Within this overall period during which there was an increase on average, there was a sharp increase for regional stage HCC along with a corresponding decline for distant stage HCC between 2000 and 2001 (Figure S1 panels B-C, Table S2). This is likely attributable to changes in cancer staging in 2000, when the presence of multiple satellite tumor nodules in more than one liver lobe or on the parenchymal surface, previously classified as distant stage, was reclassified as regional stage.</w:t>
      </w:r>
      <w:r w:rsidR="00C926C4" w:rsidRPr="00761418">
        <w:rPr>
          <w:rFonts w:cs="Arial"/>
          <w:szCs w:val="24"/>
        </w:rPr>
        <w:fldChar w:fldCharType="begin"/>
      </w:r>
      <w:r w:rsidR="00C926C4" w:rsidRPr="00761418">
        <w:rPr>
          <w:rFonts w:cs="Arial"/>
          <w:szCs w:val="24"/>
        </w:rPr>
        <w:instrText xml:space="preserve"> ADDIN EN.CITE &lt;EndNote&gt;&lt;Cite&gt;&lt;RecNum&gt;28&lt;/RecNum&gt;&lt;DisplayText&gt;&lt;style face="superscript"&gt;1&lt;/style&gt;&lt;/DisplayText&gt;&lt;record&gt;&lt;rec-number&gt;28&lt;/rec-number&gt;&lt;foreign-keys&gt;&lt;key app="EN" db-id="a99zp9zawa52wies2acxvdei29xx00xpvzfs" timestamp="1553786700"&gt;28&lt;/key&gt;&lt;/foreign-keys&gt;&lt;ref-type name="Book"&gt;6&lt;/ref-type&gt;&lt;contributors&gt;&lt;/contributors&gt;&lt;titles&gt;&lt;title&gt;Young JL Jr, Roffers SD, Ries LAG, Fritz AG, Hurlbut AA (eds). SEER Summary Staging Manual - 2000: Codes and Coding Instructions, National Cancer Institute, NIH Pub. No. 01-4969, Bethesda, MD, 2001.&lt;/title&gt;&lt;/titles&gt;&lt;dates&gt;&lt;/dates&gt;&lt;urls&gt;&lt;/urls&gt;&lt;/record&gt;&lt;/Cite&gt;&lt;/EndNote&gt;</w:instrText>
      </w:r>
      <w:r w:rsidR="00C926C4" w:rsidRPr="00761418">
        <w:rPr>
          <w:rFonts w:cs="Arial"/>
          <w:szCs w:val="24"/>
        </w:rPr>
        <w:fldChar w:fldCharType="separate"/>
      </w:r>
      <w:r w:rsidR="00C926C4" w:rsidRPr="00761418">
        <w:rPr>
          <w:rFonts w:cs="Arial"/>
          <w:noProof/>
          <w:szCs w:val="24"/>
          <w:vertAlign w:val="superscript"/>
        </w:rPr>
        <w:t>1</w:t>
      </w:r>
      <w:r w:rsidR="00C926C4" w:rsidRPr="00761418">
        <w:rPr>
          <w:rFonts w:cs="Arial"/>
          <w:szCs w:val="24"/>
        </w:rPr>
        <w:fldChar w:fldCharType="end"/>
      </w:r>
      <w:r w:rsidR="00C926C4" w:rsidRPr="00761418">
        <w:rPr>
          <w:rFonts w:cs="Arial"/>
          <w:szCs w:val="24"/>
        </w:rPr>
        <w:t xml:space="preserve"> Incidence of unstaged HCCs did not change significantly during 1987-2017.  Increasing IBM rates were specifically observed for localized stage (AAPC, 4.8%) and regional stage HCC (AAPC, 5.3%). </w:t>
      </w:r>
      <w:r w:rsidR="00856E7D" w:rsidRPr="00761418">
        <w:rPr>
          <w:rFonts w:cs="Arial"/>
          <w:szCs w:val="24"/>
        </w:rPr>
        <w:t>The rising incidence and IBM rates for regional, distant, and unstaged cancers are similar to each other, demonstrating their high lethality. The IBM rates for localized HCC did not increase as sharply as the incidence rates consistent with better survival outcomes for this stage.</w:t>
      </w:r>
    </w:p>
    <w:p w14:paraId="328EE1A9" w14:textId="0B3380CD" w:rsidR="00856E7D" w:rsidRPr="00761418" w:rsidRDefault="00856E7D" w:rsidP="00856E7D">
      <w:pPr>
        <w:rPr>
          <w:rFonts w:cs="Arial"/>
          <w:szCs w:val="24"/>
        </w:rPr>
      </w:pPr>
      <w:r w:rsidRPr="00761418">
        <w:rPr>
          <w:rFonts w:cs="Arial"/>
          <w:b/>
          <w:szCs w:val="24"/>
        </w:rPr>
        <w:t>Abbreviations:</w:t>
      </w:r>
      <w:r w:rsidRPr="00761418">
        <w:rPr>
          <w:rFonts w:cs="Arial"/>
          <w:szCs w:val="24"/>
        </w:rPr>
        <w:t xml:space="preserve"> IBM, incidence-based mortality</w:t>
      </w:r>
    </w:p>
    <w:p w14:paraId="2F63D7AD" w14:textId="77777777" w:rsidR="00856E7D" w:rsidRPr="00761418" w:rsidRDefault="00856E7D">
      <w:pPr>
        <w:rPr>
          <w:rFonts w:cs="Arial"/>
          <w:b/>
          <w:szCs w:val="24"/>
        </w:rPr>
      </w:pPr>
    </w:p>
    <w:p w14:paraId="0E94A50B" w14:textId="04157D90" w:rsidR="00856E7D" w:rsidRPr="00761418" w:rsidRDefault="00856E7D">
      <w:pPr>
        <w:rPr>
          <w:rFonts w:cs="Arial"/>
          <w:b/>
          <w:szCs w:val="24"/>
        </w:rPr>
      </w:pPr>
    </w:p>
    <w:p w14:paraId="477EB655" w14:textId="6325BD7C" w:rsidR="00C926C4" w:rsidRPr="00761418" w:rsidRDefault="00C926C4">
      <w:pPr>
        <w:rPr>
          <w:rFonts w:cs="Arial"/>
          <w:b/>
          <w:szCs w:val="24"/>
        </w:rPr>
      </w:pPr>
    </w:p>
    <w:p w14:paraId="39E31963" w14:textId="5851AE8D" w:rsidR="00C926C4" w:rsidRPr="00761418" w:rsidRDefault="00C926C4">
      <w:pPr>
        <w:rPr>
          <w:rFonts w:cs="Arial"/>
          <w:b/>
          <w:szCs w:val="24"/>
        </w:rPr>
      </w:pPr>
    </w:p>
    <w:p w14:paraId="50A22AEB" w14:textId="78554F16" w:rsidR="00C926C4" w:rsidRPr="00761418" w:rsidRDefault="00C926C4">
      <w:pPr>
        <w:rPr>
          <w:rFonts w:cs="Arial"/>
          <w:b/>
          <w:szCs w:val="24"/>
        </w:rPr>
      </w:pPr>
    </w:p>
    <w:p w14:paraId="7BC7F766" w14:textId="416B005C" w:rsidR="00C926C4" w:rsidRPr="00761418" w:rsidRDefault="00C926C4">
      <w:pPr>
        <w:rPr>
          <w:rFonts w:cs="Arial"/>
          <w:b/>
          <w:szCs w:val="24"/>
        </w:rPr>
      </w:pPr>
    </w:p>
    <w:p w14:paraId="40F9B073" w14:textId="45F2FC40" w:rsidR="00C926C4" w:rsidRPr="00761418" w:rsidRDefault="00C926C4">
      <w:pPr>
        <w:rPr>
          <w:rFonts w:cs="Arial"/>
          <w:b/>
          <w:szCs w:val="24"/>
        </w:rPr>
      </w:pPr>
    </w:p>
    <w:p w14:paraId="15C4003D" w14:textId="1B49E799" w:rsidR="00C926C4" w:rsidRPr="00761418" w:rsidRDefault="00C926C4">
      <w:pPr>
        <w:rPr>
          <w:rFonts w:cs="Arial"/>
          <w:b/>
          <w:szCs w:val="24"/>
        </w:rPr>
      </w:pPr>
    </w:p>
    <w:p w14:paraId="7D469E56" w14:textId="19354D91" w:rsidR="00C926C4" w:rsidRPr="00761418" w:rsidRDefault="00C926C4">
      <w:pPr>
        <w:rPr>
          <w:rFonts w:cs="Arial"/>
          <w:b/>
          <w:szCs w:val="24"/>
        </w:rPr>
      </w:pPr>
    </w:p>
    <w:p w14:paraId="2CED8520" w14:textId="2F18E11C" w:rsidR="00C926C4" w:rsidRPr="00761418" w:rsidRDefault="00C926C4">
      <w:pPr>
        <w:rPr>
          <w:rFonts w:cs="Arial"/>
          <w:b/>
          <w:szCs w:val="24"/>
        </w:rPr>
      </w:pPr>
    </w:p>
    <w:p w14:paraId="6880C9C2" w14:textId="2FC90878" w:rsidR="00C926C4" w:rsidRPr="00761418" w:rsidRDefault="00C926C4">
      <w:pPr>
        <w:rPr>
          <w:rFonts w:cs="Arial"/>
          <w:b/>
          <w:szCs w:val="24"/>
        </w:rPr>
      </w:pPr>
    </w:p>
    <w:p w14:paraId="4E56BA23" w14:textId="702FA2AF" w:rsidR="00C926C4" w:rsidRPr="00761418" w:rsidRDefault="00C926C4">
      <w:pPr>
        <w:rPr>
          <w:rFonts w:cs="Arial"/>
          <w:b/>
          <w:szCs w:val="24"/>
        </w:rPr>
      </w:pPr>
    </w:p>
    <w:p w14:paraId="6E8108D6" w14:textId="4C3D3639" w:rsidR="00C926C4" w:rsidRPr="00761418" w:rsidRDefault="00C926C4">
      <w:pPr>
        <w:rPr>
          <w:rFonts w:cs="Arial"/>
          <w:b/>
          <w:szCs w:val="24"/>
        </w:rPr>
      </w:pPr>
    </w:p>
    <w:p w14:paraId="63561341" w14:textId="782D89B0" w:rsidR="00741112" w:rsidRPr="00761418" w:rsidRDefault="00741112">
      <w:pPr>
        <w:rPr>
          <w:rFonts w:cs="Arial"/>
          <w:b/>
          <w:szCs w:val="24"/>
        </w:rPr>
      </w:pPr>
    </w:p>
    <w:p w14:paraId="47F8E994" w14:textId="170BA161" w:rsidR="00B243D9" w:rsidRDefault="00B243D9">
      <w:pPr>
        <w:rPr>
          <w:rFonts w:cs="Arial"/>
          <w:b/>
          <w:szCs w:val="24"/>
        </w:rPr>
      </w:pPr>
      <w:r>
        <w:rPr>
          <w:noProof/>
        </w:rPr>
        <w:lastRenderedPageBreak/>
        <w:drawing>
          <wp:inline distT="0" distB="0" distL="0" distR="0" wp14:anchorId="135E7BB9" wp14:editId="6164BE9B">
            <wp:extent cx="5943600" cy="7824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599"/>
                    <a:stretch/>
                  </pic:blipFill>
                  <pic:spPr bwMode="auto">
                    <a:xfrm>
                      <a:off x="0" y="0"/>
                      <a:ext cx="5943600" cy="7824470"/>
                    </a:xfrm>
                    <a:prstGeom prst="rect">
                      <a:avLst/>
                    </a:prstGeom>
                    <a:noFill/>
                    <a:ln>
                      <a:noFill/>
                    </a:ln>
                    <a:extLst>
                      <a:ext uri="{53640926-AAD7-44D8-BBD7-CCE9431645EC}">
                        <a14:shadowObscured xmlns:a14="http://schemas.microsoft.com/office/drawing/2010/main"/>
                      </a:ext>
                    </a:extLst>
                  </pic:spPr>
                </pic:pic>
              </a:graphicData>
            </a:graphic>
          </wp:inline>
        </w:drawing>
      </w:r>
    </w:p>
    <w:p w14:paraId="71AC5A1D" w14:textId="77777777" w:rsidR="008B5FD6" w:rsidRDefault="008B5FD6">
      <w:pPr>
        <w:rPr>
          <w:rFonts w:cs="Arial"/>
          <w:b/>
          <w:szCs w:val="24"/>
        </w:rPr>
      </w:pPr>
    </w:p>
    <w:p w14:paraId="74E26B61" w14:textId="70F13C89" w:rsidR="00C926C4" w:rsidRPr="00761418" w:rsidRDefault="00C926C4">
      <w:pPr>
        <w:rPr>
          <w:rFonts w:cs="Arial"/>
          <w:b/>
          <w:szCs w:val="24"/>
        </w:rPr>
      </w:pPr>
      <w:r w:rsidRPr="00761418">
        <w:rPr>
          <w:rFonts w:cs="Arial"/>
          <w:b/>
          <w:szCs w:val="24"/>
        </w:rPr>
        <w:lastRenderedPageBreak/>
        <w:t>References:</w:t>
      </w:r>
    </w:p>
    <w:p w14:paraId="1B5EF5E3" w14:textId="77777777" w:rsidR="00C926C4" w:rsidRPr="00761418" w:rsidRDefault="00C926C4" w:rsidP="00C926C4">
      <w:pPr>
        <w:pStyle w:val="EndNoteBibliography"/>
        <w:rPr>
          <w:szCs w:val="24"/>
        </w:rPr>
      </w:pPr>
      <w:r w:rsidRPr="00761418">
        <w:rPr>
          <w:szCs w:val="24"/>
        </w:rPr>
        <w:fldChar w:fldCharType="begin"/>
      </w:r>
      <w:r w:rsidRPr="00761418">
        <w:rPr>
          <w:szCs w:val="24"/>
        </w:rPr>
        <w:instrText xml:space="preserve"> ADDIN EN.REFLIST </w:instrText>
      </w:r>
      <w:r w:rsidRPr="00761418">
        <w:rPr>
          <w:szCs w:val="24"/>
        </w:rPr>
        <w:fldChar w:fldCharType="separate"/>
      </w:r>
      <w:r w:rsidRPr="00761418">
        <w:rPr>
          <w:szCs w:val="24"/>
        </w:rPr>
        <w:t>1. Young JL Jr, Roffers SD, Ries LAG, Fritz AG, Hurlbut AA (eds). SEER Summary Staging Manual - 2000: Codes and Coding Instructions, National Cancer Institute, NIH Pub. No. 01-4969, Bethesda, MD, 2001.</w:t>
      </w:r>
    </w:p>
    <w:p w14:paraId="510016CB" w14:textId="7C863AE1" w:rsidR="004C52BA" w:rsidRPr="00761418" w:rsidRDefault="00C926C4">
      <w:pPr>
        <w:rPr>
          <w:rFonts w:cs="Arial"/>
          <w:szCs w:val="24"/>
        </w:rPr>
      </w:pPr>
      <w:r w:rsidRPr="00761418">
        <w:rPr>
          <w:rFonts w:cs="Arial"/>
          <w:szCs w:val="24"/>
        </w:rPr>
        <w:fldChar w:fldCharType="end"/>
      </w:r>
    </w:p>
    <w:sectPr w:rsidR="004C52BA" w:rsidRPr="00761418" w:rsidSect="00195C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C7506" w14:textId="77777777" w:rsidR="003779BE" w:rsidRDefault="003779BE" w:rsidP="00122A54">
      <w:pPr>
        <w:spacing w:after="0" w:line="240" w:lineRule="auto"/>
      </w:pPr>
      <w:r>
        <w:separator/>
      </w:r>
    </w:p>
  </w:endnote>
  <w:endnote w:type="continuationSeparator" w:id="0">
    <w:p w14:paraId="700AEE3A" w14:textId="77777777" w:rsidR="003779BE" w:rsidRDefault="003779BE" w:rsidP="0012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018412"/>
      <w:docPartObj>
        <w:docPartGallery w:val="Page Numbers (Bottom of Page)"/>
        <w:docPartUnique/>
      </w:docPartObj>
    </w:sdtPr>
    <w:sdtEndPr>
      <w:rPr>
        <w:noProof/>
      </w:rPr>
    </w:sdtEndPr>
    <w:sdtContent>
      <w:p w14:paraId="7CB85D15" w14:textId="42BE4A05" w:rsidR="00566FDB" w:rsidRDefault="00566F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38493F" w14:textId="77777777" w:rsidR="00566FDB" w:rsidRDefault="00566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8AC7F" w14:textId="77777777" w:rsidR="003779BE" w:rsidRDefault="003779BE" w:rsidP="00122A54">
      <w:pPr>
        <w:spacing w:after="0" w:line="240" w:lineRule="auto"/>
      </w:pPr>
      <w:r>
        <w:separator/>
      </w:r>
    </w:p>
  </w:footnote>
  <w:footnote w:type="continuationSeparator" w:id="0">
    <w:p w14:paraId="741C0513" w14:textId="77777777" w:rsidR="003779BE" w:rsidRDefault="003779BE" w:rsidP="00122A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ancer AC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99zp9zawa52wies2acxvdei29xx00xpvzfs&quot;&gt;Liver transplant&lt;record-ids&gt;&lt;item&gt;28&lt;/item&gt;&lt;/record-ids&gt;&lt;/item&gt;&lt;/Libraries&gt;"/>
  </w:docVars>
  <w:rsids>
    <w:rsidRoot w:val="00993C2B"/>
    <w:rsid w:val="00004397"/>
    <w:rsid w:val="00014585"/>
    <w:rsid w:val="00064967"/>
    <w:rsid w:val="00071B74"/>
    <w:rsid w:val="00073A62"/>
    <w:rsid w:val="000837CF"/>
    <w:rsid w:val="000C1855"/>
    <w:rsid w:val="000E019D"/>
    <w:rsid w:val="00116C08"/>
    <w:rsid w:val="00122A54"/>
    <w:rsid w:val="0014450B"/>
    <w:rsid w:val="00177D58"/>
    <w:rsid w:val="00195C94"/>
    <w:rsid w:val="001A10C8"/>
    <w:rsid w:val="001B2888"/>
    <w:rsid w:val="001C1040"/>
    <w:rsid w:val="00206EB4"/>
    <w:rsid w:val="00222978"/>
    <w:rsid w:val="0027131D"/>
    <w:rsid w:val="00282492"/>
    <w:rsid w:val="0029489A"/>
    <w:rsid w:val="00295DA9"/>
    <w:rsid w:val="002D79E7"/>
    <w:rsid w:val="002F710F"/>
    <w:rsid w:val="00303BFB"/>
    <w:rsid w:val="00332F44"/>
    <w:rsid w:val="0033514B"/>
    <w:rsid w:val="003408F2"/>
    <w:rsid w:val="00360EA7"/>
    <w:rsid w:val="00367C2A"/>
    <w:rsid w:val="003749D3"/>
    <w:rsid w:val="003779BE"/>
    <w:rsid w:val="003D3C74"/>
    <w:rsid w:val="003D7F95"/>
    <w:rsid w:val="003E7B2E"/>
    <w:rsid w:val="00426975"/>
    <w:rsid w:val="004678FE"/>
    <w:rsid w:val="00472526"/>
    <w:rsid w:val="00496395"/>
    <w:rsid w:val="004C52BA"/>
    <w:rsid w:val="004D0363"/>
    <w:rsid w:val="004E2E12"/>
    <w:rsid w:val="004F34F1"/>
    <w:rsid w:val="0050392A"/>
    <w:rsid w:val="00513263"/>
    <w:rsid w:val="0053363D"/>
    <w:rsid w:val="005603BD"/>
    <w:rsid w:val="00566FDB"/>
    <w:rsid w:val="005A41F4"/>
    <w:rsid w:val="005E5FC0"/>
    <w:rsid w:val="0060484F"/>
    <w:rsid w:val="00615488"/>
    <w:rsid w:val="00645A73"/>
    <w:rsid w:val="006532A1"/>
    <w:rsid w:val="006B18DD"/>
    <w:rsid w:val="006B5E94"/>
    <w:rsid w:val="006E5B87"/>
    <w:rsid w:val="006F419A"/>
    <w:rsid w:val="00701746"/>
    <w:rsid w:val="00711511"/>
    <w:rsid w:val="00741112"/>
    <w:rsid w:val="007523D5"/>
    <w:rsid w:val="00761418"/>
    <w:rsid w:val="00772523"/>
    <w:rsid w:val="00772FFA"/>
    <w:rsid w:val="007E4BF5"/>
    <w:rsid w:val="007F52A2"/>
    <w:rsid w:val="00812207"/>
    <w:rsid w:val="00830325"/>
    <w:rsid w:val="00835473"/>
    <w:rsid w:val="00856E7D"/>
    <w:rsid w:val="00867933"/>
    <w:rsid w:val="00873D5F"/>
    <w:rsid w:val="008758EC"/>
    <w:rsid w:val="00883BDA"/>
    <w:rsid w:val="008B5FD6"/>
    <w:rsid w:val="008C04E3"/>
    <w:rsid w:val="008C35CF"/>
    <w:rsid w:val="00916DCD"/>
    <w:rsid w:val="0093776C"/>
    <w:rsid w:val="0096605C"/>
    <w:rsid w:val="009708A6"/>
    <w:rsid w:val="0097481C"/>
    <w:rsid w:val="00975AAF"/>
    <w:rsid w:val="00993C2B"/>
    <w:rsid w:val="009B0CA2"/>
    <w:rsid w:val="009C6EFB"/>
    <w:rsid w:val="009D6654"/>
    <w:rsid w:val="009F47FD"/>
    <w:rsid w:val="00A51BB1"/>
    <w:rsid w:val="00A86276"/>
    <w:rsid w:val="00AB486B"/>
    <w:rsid w:val="00AC560D"/>
    <w:rsid w:val="00AE49B5"/>
    <w:rsid w:val="00B144F1"/>
    <w:rsid w:val="00B17F2F"/>
    <w:rsid w:val="00B202DA"/>
    <w:rsid w:val="00B243D9"/>
    <w:rsid w:val="00B650C3"/>
    <w:rsid w:val="00B954F1"/>
    <w:rsid w:val="00BA16B0"/>
    <w:rsid w:val="00BB14AB"/>
    <w:rsid w:val="00BD574F"/>
    <w:rsid w:val="00BF09B3"/>
    <w:rsid w:val="00BF1168"/>
    <w:rsid w:val="00C0424E"/>
    <w:rsid w:val="00C115C2"/>
    <w:rsid w:val="00C11B08"/>
    <w:rsid w:val="00C150B3"/>
    <w:rsid w:val="00C40A21"/>
    <w:rsid w:val="00C4303C"/>
    <w:rsid w:val="00C45D92"/>
    <w:rsid w:val="00C542A6"/>
    <w:rsid w:val="00C54A34"/>
    <w:rsid w:val="00C726D8"/>
    <w:rsid w:val="00C75481"/>
    <w:rsid w:val="00C763E3"/>
    <w:rsid w:val="00C926C4"/>
    <w:rsid w:val="00CB1990"/>
    <w:rsid w:val="00CE46E9"/>
    <w:rsid w:val="00D87AEE"/>
    <w:rsid w:val="00DA1EE6"/>
    <w:rsid w:val="00DA4B0E"/>
    <w:rsid w:val="00DB0685"/>
    <w:rsid w:val="00DB35AC"/>
    <w:rsid w:val="00DC119D"/>
    <w:rsid w:val="00DE3EF0"/>
    <w:rsid w:val="00DF6D26"/>
    <w:rsid w:val="00E03B29"/>
    <w:rsid w:val="00E27F45"/>
    <w:rsid w:val="00E85BB5"/>
    <w:rsid w:val="00EB1FBA"/>
    <w:rsid w:val="00EB4B26"/>
    <w:rsid w:val="00EB7868"/>
    <w:rsid w:val="00F159A2"/>
    <w:rsid w:val="00F23B84"/>
    <w:rsid w:val="00F23F02"/>
    <w:rsid w:val="00F26841"/>
    <w:rsid w:val="00F45435"/>
    <w:rsid w:val="00F86D56"/>
    <w:rsid w:val="00FC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A2DDCE"/>
  <w15:chartTrackingRefBased/>
  <w15:docId w15:val="{32051E42-3547-4972-969E-53C10AAD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Consolas"/>
        <w:sz w:val="24"/>
        <w:szCs w:val="21"/>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7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7131D"/>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27131D"/>
    <w:rPr>
      <w:rFonts w:cs="Arial"/>
      <w:noProof/>
    </w:rPr>
  </w:style>
  <w:style w:type="paragraph" w:customStyle="1" w:styleId="EndNoteBibliography">
    <w:name w:val="EndNote Bibliography"/>
    <w:basedOn w:val="Normal"/>
    <w:link w:val="EndNoteBibliographyChar"/>
    <w:rsid w:val="0027131D"/>
    <w:pPr>
      <w:spacing w:line="240" w:lineRule="auto"/>
    </w:pPr>
    <w:rPr>
      <w:rFonts w:cs="Arial"/>
      <w:noProof/>
    </w:rPr>
  </w:style>
  <w:style w:type="character" w:customStyle="1" w:styleId="EndNoteBibliographyChar">
    <w:name w:val="EndNote Bibliography Char"/>
    <w:basedOn w:val="DefaultParagraphFont"/>
    <w:link w:val="EndNoteBibliography"/>
    <w:rsid w:val="0027131D"/>
    <w:rPr>
      <w:rFonts w:cs="Arial"/>
      <w:noProof/>
    </w:rPr>
  </w:style>
  <w:style w:type="paragraph" w:styleId="Header">
    <w:name w:val="header"/>
    <w:basedOn w:val="Normal"/>
    <w:link w:val="HeaderChar"/>
    <w:uiPriority w:val="99"/>
    <w:unhideWhenUsed/>
    <w:rsid w:val="00122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A54"/>
  </w:style>
  <w:style w:type="paragraph" w:styleId="Footer">
    <w:name w:val="footer"/>
    <w:basedOn w:val="Normal"/>
    <w:link w:val="FooterChar"/>
    <w:uiPriority w:val="99"/>
    <w:unhideWhenUsed/>
    <w:rsid w:val="00122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A54"/>
  </w:style>
  <w:style w:type="paragraph" w:styleId="BalloonText">
    <w:name w:val="Balloon Text"/>
    <w:basedOn w:val="Normal"/>
    <w:link w:val="BalloonTextChar"/>
    <w:uiPriority w:val="99"/>
    <w:semiHidden/>
    <w:unhideWhenUsed/>
    <w:rsid w:val="00C40A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0A2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40A21"/>
    <w:rPr>
      <w:sz w:val="16"/>
      <w:szCs w:val="16"/>
    </w:rPr>
  </w:style>
  <w:style w:type="paragraph" w:styleId="CommentText">
    <w:name w:val="annotation text"/>
    <w:basedOn w:val="Normal"/>
    <w:link w:val="CommentTextChar"/>
    <w:uiPriority w:val="99"/>
    <w:semiHidden/>
    <w:unhideWhenUsed/>
    <w:rsid w:val="00C40A21"/>
    <w:pPr>
      <w:spacing w:line="240" w:lineRule="auto"/>
    </w:pPr>
    <w:rPr>
      <w:sz w:val="20"/>
      <w:szCs w:val="20"/>
    </w:rPr>
  </w:style>
  <w:style w:type="character" w:customStyle="1" w:styleId="CommentTextChar">
    <w:name w:val="Comment Text Char"/>
    <w:basedOn w:val="DefaultParagraphFont"/>
    <w:link w:val="CommentText"/>
    <w:uiPriority w:val="99"/>
    <w:semiHidden/>
    <w:rsid w:val="00C40A21"/>
    <w:rPr>
      <w:sz w:val="20"/>
      <w:szCs w:val="20"/>
    </w:rPr>
  </w:style>
  <w:style w:type="paragraph" w:styleId="CommentSubject">
    <w:name w:val="annotation subject"/>
    <w:basedOn w:val="CommentText"/>
    <w:next w:val="CommentText"/>
    <w:link w:val="CommentSubjectChar"/>
    <w:uiPriority w:val="99"/>
    <w:semiHidden/>
    <w:unhideWhenUsed/>
    <w:rsid w:val="00C40A21"/>
    <w:rPr>
      <w:b/>
      <w:bCs/>
    </w:rPr>
  </w:style>
  <w:style w:type="character" w:customStyle="1" w:styleId="CommentSubjectChar">
    <w:name w:val="Comment Subject Char"/>
    <w:basedOn w:val="CommentTextChar"/>
    <w:link w:val="CommentSubject"/>
    <w:uiPriority w:val="99"/>
    <w:semiHidden/>
    <w:rsid w:val="00C40A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454026">
      <w:bodyDiv w:val="1"/>
      <w:marLeft w:val="0"/>
      <w:marRight w:val="0"/>
      <w:marTop w:val="0"/>
      <w:marBottom w:val="0"/>
      <w:divBdr>
        <w:top w:val="none" w:sz="0" w:space="0" w:color="auto"/>
        <w:left w:val="none" w:sz="0" w:space="0" w:color="auto"/>
        <w:bottom w:val="none" w:sz="0" w:space="0" w:color="auto"/>
        <w:right w:val="none" w:sz="0" w:space="0" w:color="auto"/>
      </w:divBdr>
    </w:div>
    <w:div w:id="585117660">
      <w:bodyDiv w:val="1"/>
      <w:marLeft w:val="0"/>
      <w:marRight w:val="0"/>
      <w:marTop w:val="0"/>
      <w:marBottom w:val="0"/>
      <w:divBdr>
        <w:top w:val="none" w:sz="0" w:space="0" w:color="auto"/>
        <w:left w:val="none" w:sz="0" w:space="0" w:color="auto"/>
        <w:bottom w:val="none" w:sz="0" w:space="0" w:color="auto"/>
        <w:right w:val="none" w:sz="0" w:space="0" w:color="auto"/>
      </w:divBdr>
    </w:div>
    <w:div w:id="759911247">
      <w:bodyDiv w:val="1"/>
      <w:marLeft w:val="0"/>
      <w:marRight w:val="0"/>
      <w:marTop w:val="0"/>
      <w:marBottom w:val="0"/>
      <w:divBdr>
        <w:top w:val="none" w:sz="0" w:space="0" w:color="auto"/>
        <w:left w:val="none" w:sz="0" w:space="0" w:color="auto"/>
        <w:bottom w:val="none" w:sz="0" w:space="0" w:color="auto"/>
        <w:right w:val="none" w:sz="0" w:space="0" w:color="auto"/>
      </w:divBdr>
    </w:div>
    <w:div w:id="881017367">
      <w:bodyDiv w:val="1"/>
      <w:marLeft w:val="0"/>
      <w:marRight w:val="0"/>
      <w:marTop w:val="0"/>
      <w:marBottom w:val="0"/>
      <w:divBdr>
        <w:top w:val="none" w:sz="0" w:space="0" w:color="auto"/>
        <w:left w:val="none" w:sz="0" w:space="0" w:color="auto"/>
        <w:bottom w:val="none" w:sz="0" w:space="0" w:color="auto"/>
        <w:right w:val="none" w:sz="0" w:space="0" w:color="auto"/>
      </w:divBdr>
    </w:div>
    <w:div w:id="1376007126">
      <w:bodyDiv w:val="1"/>
      <w:marLeft w:val="0"/>
      <w:marRight w:val="0"/>
      <w:marTop w:val="0"/>
      <w:marBottom w:val="0"/>
      <w:divBdr>
        <w:top w:val="none" w:sz="0" w:space="0" w:color="auto"/>
        <w:left w:val="none" w:sz="0" w:space="0" w:color="auto"/>
        <w:bottom w:val="none" w:sz="0" w:space="0" w:color="auto"/>
        <w:right w:val="none" w:sz="0" w:space="0" w:color="auto"/>
      </w:divBdr>
    </w:div>
    <w:div w:id="1405375043">
      <w:bodyDiv w:val="1"/>
      <w:marLeft w:val="0"/>
      <w:marRight w:val="0"/>
      <w:marTop w:val="0"/>
      <w:marBottom w:val="0"/>
      <w:divBdr>
        <w:top w:val="none" w:sz="0" w:space="0" w:color="auto"/>
        <w:left w:val="none" w:sz="0" w:space="0" w:color="auto"/>
        <w:bottom w:val="none" w:sz="0" w:space="0" w:color="auto"/>
        <w:right w:val="none" w:sz="0" w:space="0" w:color="auto"/>
      </w:divBdr>
    </w:div>
    <w:div w:id="1577125775">
      <w:bodyDiv w:val="1"/>
      <w:marLeft w:val="0"/>
      <w:marRight w:val="0"/>
      <w:marTop w:val="0"/>
      <w:marBottom w:val="0"/>
      <w:divBdr>
        <w:top w:val="none" w:sz="0" w:space="0" w:color="auto"/>
        <w:left w:val="none" w:sz="0" w:space="0" w:color="auto"/>
        <w:bottom w:val="none" w:sz="0" w:space="0" w:color="auto"/>
        <w:right w:val="none" w:sz="0" w:space="0" w:color="auto"/>
      </w:divBdr>
    </w:div>
    <w:div w:id="180384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9EB90-4CB7-49B0-B523-06241736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5802</TotalTime>
  <Pages>7</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Mahale, Parag</cp:lastModifiedBy>
  <cp:revision>11</cp:revision>
  <dcterms:created xsi:type="dcterms:W3CDTF">2020-06-25T21:21:00Z</dcterms:created>
  <dcterms:modified xsi:type="dcterms:W3CDTF">2020-11-10T21:40:00Z</dcterms:modified>
</cp:coreProperties>
</file>