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9E" w:rsidRPr="00565AB2" w:rsidRDefault="00F2379E" w:rsidP="00F2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AB2">
        <w:rPr>
          <w:rFonts w:ascii="Times New Roman" w:hAnsi="Times New Roman"/>
          <w:b/>
          <w:sz w:val="24"/>
          <w:szCs w:val="24"/>
        </w:rPr>
        <w:t>Supplement</w:t>
      </w:r>
    </w:p>
    <w:p w:rsidR="00F2379E" w:rsidRPr="00103A3D" w:rsidRDefault="00F2379E" w:rsidP="00F2379E">
      <w:pPr>
        <w:spacing w:after="0"/>
        <w:jc w:val="center"/>
        <w:rPr>
          <w:rFonts w:ascii="Times New Roman" w:hAnsi="Times New Roman"/>
        </w:rPr>
      </w:pPr>
    </w:p>
    <w:p w:rsidR="00103A3D" w:rsidRPr="00103A3D" w:rsidRDefault="00103A3D" w:rsidP="00F2379E">
      <w:pPr>
        <w:spacing w:after="0"/>
        <w:jc w:val="center"/>
        <w:rPr>
          <w:rFonts w:ascii="Times New Roman" w:hAnsi="Times New Roman"/>
        </w:rPr>
      </w:pPr>
    </w:p>
    <w:p w:rsidR="00D075E8" w:rsidRDefault="00D075E8" w:rsidP="00103A3D">
      <w:pPr>
        <w:spacing w:after="0" w:line="480" w:lineRule="auto"/>
        <w:ind w:left="-720"/>
        <w:rPr>
          <w:rFonts w:ascii="Times New Roman" w:hAnsi="Times New Roman"/>
          <w:sz w:val="24"/>
          <w:szCs w:val="24"/>
        </w:rPr>
      </w:pPr>
      <w:bookmarkStart w:id="0" w:name="_Hlk32944412"/>
      <w:r w:rsidRPr="00A90B95">
        <w:rPr>
          <w:rFonts w:ascii="Times New Roman" w:hAnsi="Times New Roman"/>
          <w:b/>
          <w:sz w:val="24"/>
          <w:szCs w:val="24"/>
        </w:rPr>
        <w:t xml:space="preserve">Table </w:t>
      </w:r>
      <w:r w:rsidR="00A90B95" w:rsidRPr="00A90B95">
        <w:rPr>
          <w:rFonts w:ascii="Times New Roman" w:hAnsi="Times New Roman"/>
          <w:b/>
          <w:sz w:val="24"/>
          <w:szCs w:val="24"/>
        </w:rPr>
        <w:t>1</w:t>
      </w:r>
      <w:r w:rsidRPr="00A90B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A3D">
        <w:rPr>
          <w:rFonts w:ascii="Times New Roman" w:hAnsi="Times New Roman"/>
          <w:sz w:val="24"/>
          <w:szCs w:val="24"/>
        </w:rPr>
        <w:t>Summary of changes made to Standardized Antimicrobial Administration Ratio (SAAR) agent categories from 2014 baseline to 2017 baseline.</w:t>
      </w:r>
    </w:p>
    <w:tbl>
      <w:tblPr>
        <w:tblW w:w="11160" w:type="dxa"/>
        <w:tblInd w:w="-720" w:type="dxa"/>
        <w:tblLook w:val="04A0" w:firstRow="1" w:lastRow="0" w:firstColumn="1" w:lastColumn="0" w:noHBand="0" w:noVBand="1"/>
      </w:tblPr>
      <w:tblGrid>
        <w:gridCol w:w="1500"/>
        <w:gridCol w:w="271"/>
        <w:gridCol w:w="1500"/>
        <w:gridCol w:w="271"/>
        <w:gridCol w:w="2038"/>
        <w:gridCol w:w="271"/>
        <w:gridCol w:w="2609"/>
        <w:gridCol w:w="271"/>
        <w:gridCol w:w="2429"/>
      </w:tblGrid>
      <w:tr w:rsidR="00103A3D" w:rsidRPr="00103A3D" w:rsidTr="00EB27DE">
        <w:trPr>
          <w:trHeight w:val="746"/>
        </w:trPr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2014 baseline SAAR agent category title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2017 baseline SAAR agent category title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Change made from 2014 baseline to 2017 baseline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Reason(s) for change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3A3D">
              <w:rPr>
                <w:rFonts w:ascii="Times New Roman" w:eastAsia="Times New Roman" w:hAnsi="Times New Roman"/>
                <w:b/>
                <w:bCs/>
                <w:color w:val="000000"/>
              </w:rPr>
              <w:t>Antimicrobial(s) affected</w:t>
            </w:r>
          </w:p>
        </w:tc>
      </w:tr>
      <w:tr w:rsidR="00103A3D" w:rsidRPr="00103A3D" w:rsidTr="00EB27DE">
        <w:trPr>
          <w:trHeight w:val="1575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Broad-spectrum antibacterial agents predominantly used for hospital-onset/multi-drug resistant infections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Broad-spectrum antibacterial agents predominantly used for hospital-onset infections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Removed antibacterial agents used to treat extensively antibiotic-resistant infections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Stewards suggested a separate SAAR for these agents, however, reported 2017 use rates were low so they were included in a Rate Table instead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Ceftazidime with avibactam,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ceftolozane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 xml:space="preserve"> with tazobactam,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colistimethate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>, polymyxin B, tigecycline</w:t>
            </w:r>
          </w:p>
        </w:tc>
      </w:tr>
      <w:tr w:rsidR="00103A3D" w:rsidRPr="00103A3D" w:rsidTr="00EB27DE">
        <w:trPr>
          <w:trHeight w:val="1349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Removed antimicrobial agents that were not commercially available in 2017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No longer commercially available in 2017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Piperacillin, ticarcillin with clavulanate</w:t>
            </w:r>
          </w:p>
        </w:tc>
      </w:tr>
      <w:tr w:rsidR="00103A3D" w:rsidRPr="00103A3D" w:rsidTr="00EB27DE">
        <w:trPr>
          <w:trHeight w:val="2060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For pediatrics, fluoroquinolones and ertapenem were moved from the community-acquired to the hospital-onset category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Selected agents are more commonly used for pediatric hospital-onset infections than pediatric community-acquired infections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Ciprofloxacin, ertapenem,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gemifloxacin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>, levofloxacin, moxifloxacin</w:t>
            </w:r>
          </w:p>
        </w:tc>
      </w:tr>
      <w:tr w:rsidR="00103A3D" w:rsidRPr="00103A3D" w:rsidTr="00EB27DE">
        <w:trPr>
          <w:trHeight w:val="1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Limited the route of administration to intravenous for aminoglycosides and aztreonam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Intravenous administration is optimal stewardship target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Amikacin, gentamicin, tobramycin, aztreonam</w:t>
            </w:r>
          </w:p>
        </w:tc>
      </w:tr>
      <w:tr w:rsidR="00103A3D" w:rsidRPr="00103A3D" w:rsidTr="00EB27DE">
        <w:trPr>
          <w:trHeight w:val="863"/>
        </w:trPr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Broad-spectrum antibacterial agents predominantly used for community-acquired infections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Broad-spectrum antibacterial agents predominantly used for community-acquired infections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Added select 2nd and 3rd generation cephalosporins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Important stewardship target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Cefaclor, cefdinir, cefixime, cefpodoxime,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cefprozil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>, cefuroxime</w:t>
            </w:r>
          </w:p>
        </w:tc>
      </w:tr>
      <w:tr w:rsidR="00103A3D" w:rsidRPr="00103A3D" w:rsidTr="00EB27DE">
        <w:trPr>
          <w:trHeight w:val="1970"/>
        </w:trPr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For pediatrics, added amoxicillin with clavulanate and ampicillin with sulbactam (for adults, these are in the narrow-spectrum beta-lactam group)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Community-acquired pneumonia is an important pediatric stewardship target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Amoxicillin with clavulanate, ampicillin with sulbactam</w:t>
            </w:r>
          </w:p>
        </w:tc>
      </w:tr>
      <w:tr w:rsidR="00103A3D" w:rsidRPr="00103A3D" w:rsidTr="00EB27DE">
        <w:trPr>
          <w:trHeight w:val="800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lastRenderedPageBreak/>
              <w:t>Anti-MRSA antibacterial agents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Antibacterial agents predominantly used for resistant Gram-positive infections (e.g., MRSA)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Renamed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To reflect broad-spectrum gram-positive activity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103A3D" w:rsidRPr="00103A3D" w:rsidTr="00EB27DE">
        <w:trPr>
          <w:trHeight w:val="1358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Clindamycin added to the pediatric SAAR agent category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Reflects use of clindamycin in pediatric patients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Clindamycin</w:t>
            </w:r>
          </w:p>
        </w:tc>
      </w:tr>
      <w:tr w:rsidR="00103A3D" w:rsidRPr="00103A3D" w:rsidTr="00EB27DE">
        <w:trPr>
          <w:trHeight w:val="134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Antibacterial agents predominantly used for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SSI</w:t>
            </w:r>
            <w:r w:rsidRPr="00103A3D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 xml:space="preserve"> prophylaxis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Removed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To avoid misinterpretation of high SAARs as an indicator of failures to stop SSI prophylaxis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Cefazolin, cefotetan, cefoxitin, cefuroxime, cephalexin</w:t>
            </w:r>
          </w:p>
        </w:tc>
      </w:tr>
      <w:tr w:rsidR="00103A3D" w:rsidRPr="00103A3D" w:rsidTr="00EB27DE">
        <w:trPr>
          <w:trHeight w:val="287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Narrow-spectrum beta-lactam agents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Added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Enable evaluation of de-escalation efforts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Amoxicillin, amoxicillin with clavulanate (adults), ampicillin, ampicillin with clavulanate (adults), cefadroxil, cefazolin, cefotetan, cefoxitin, cephalexin, dicloxacillin, nafcillin, oxacillin, penicillin G, penicillin V </w:t>
            </w:r>
          </w:p>
        </w:tc>
      </w:tr>
      <w:tr w:rsidR="00103A3D" w:rsidRPr="00103A3D" w:rsidTr="00EB27DE">
        <w:trPr>
          <w:trHeight w:val="584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Azithromycin (pediatrics)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Added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Important pediatric stewardship target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Azithromycin</w:t>
            </w:r>
          </w:p>
        </w:tc>
      </w:tr>
      <w:tr w:rsidR="00103A3D" w:rsidRPr="00103A3D" w:rsidTr="00EB27DE">
        <w:trPr>
          <w:trHeight w:val="161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Antifungal agents predominantly used for invasive candidiasis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Added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Important stewardship target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Fluconazole, anidulafungin,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caspofungin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>, micafungin</w:t>
            </w:r>
          </w:p>
        </w:tc>
      </w:tr>
      <w:tr w:rsidR="00103A3D" w:rsidRPr="00103A3D" w:rsidTr="00EB27DE">
        <w:trPr>
          <w:trHeight w:val="237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Antibacterial agents posing the highest risk for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CDI</w:t>
            </w:r>
            <w:r w:rsidRPr="00103A3D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Added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Enables tracking of antimicrobials associated with increased risk of CDI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A3D" w:rsidRPr="00103A3D" w:rsidRDefault="00103A3D" w:rsidP="00103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3A3D">
              <w:rPr>
                <w:rFonts w:ascii="Times New Roman" w:eastAsia="Times New Roman" w:hAnsi="Times New Roman"/>
                <w:color w:val="000000"/>
              </w:rPr>
              <w:t xml:space="preserve">Clindamycin, ciprofloxacin, </w:t>
            </w:r>
            <w:proofErr w:type="spellStart"/>
            <w:r w:rsidRPr="00103A3D">
              <w:rPr>
                <w:rFonts w:ascii="Times New Roman" w:eastAsia="Times New Roman" w:hAnsi="Times New Roman"/>
                <w:color w:val="000000"/>
              </w:rPr>
              <w:t>gemifloxacin</w:t>
            </w:r>
            <w:proofErr w:type="spellEnd"/>
            <w:r w:rsidRPr="00103A3D">
              <w:rPr>
                <w:rFonts w:ascii="Times New Roman" w:eastAsia="Times New Roman" w:hAnsi="Times New Roman"/>
                <w:color w:val="000000"/>
              </w:rPr>
              <w:t>, levofloxacin, moxifloxacin, cefotaxime, ceftriaxone, ceftazidime, cefepime, cefdinir, cefpodoxime, cefixime</w:t>
            </w:r>
          </w:p>
        </w:tc>
      </w:tr>
    </w:tbl>
    <w:p w:rsidR="00103A3D" w:rsidRDefault="00103A3D" w:rsidP="00103A3D">
      <w:pPr>
        <w:spacing w:after="0"/>
        <w:ind w:left="-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>Surgical</w:t>
      </w:r>
      <w:proofErr w:type="spellEnd"/>
      <w:r>
        <w:rPr>
          <w:rFonts w:ascii="Times New Roman" w:hAnsi="Times New Roman"/>
          <w:sz w:val="20"/>
          <w:szCs w:val="20"/>
        </w:rPr>
        <w:t xml:space="preserve"> site infection</w:t>
      </w:r>
    </w:p>
    <w:p w:rsidR="00103A3D" w:rsidRDefault="00103A3D" w:rsidP="00103A3D">
      <w:pPr>
        <w:spacing w:after="0"/>
        <w:ind w:left="-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i/>
          <w:iCs/>
          <w:sz w:val="20"/>
          <w:szCs w:val="20"/>
        </w:rPr>
        <w:t>Clostridioides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difficile </w:t>
      </w:r>
      <w:r>
        <w:rPr>
          <w:rFonts w:ascii="Times New Roman" w:hAnsi="Times New Roman"/>
          <w:sz w:val="20"/>
          <w:szCs w:val="20"/>
        </w:rPr>
        <w:t>infection</w:t>
      </w:r>
    </w:p>
    <w:p w:rsidR="00D075E8" w:rsidRDefault="00D075E8" w:rsidP="0085280F">
      <w:pPr>
        <w:spacing w:after="0"/>
        <w:ind w:left="-720"/>
        <w:rPr>
          <w:rFonts w:ascii="Times New Roman" w:hAnsi="Times New Roman"/>
          <w:sz w:val="24"/>
          <w:szCs w:val="24"/>
        </w:rPr>
      </w:pPr>
    </w:p>
    <w:p w:rsidR="00103A3D" w:rsidRDefault="00103A3D" w:rsidP="0085280F">
      <w:pPr>
        <w:spacing w:after="0"/>
        <w:ind w:left="-72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bookmarkEnd w:id="0"/>
    <w:p w:rsidR="00F2379E" w:rsidRDefault="00F2379E" w:rsidP="00103A3D">
      <w:pPr>
        <w:spacing w:line="480" w:lineRule="auto"/>
        <w:ind w:left="-720"/>
        <w:rPr>
          <w:rFonts w:ascii="Times New Roman" w:hAnsi="Times New Roman"/>
          <w:b/>
          <w:sz w:val="14"/>
          <w:szCs w:val="24"/>
        </w:rPr>
      </w:pPr>
      <w:r w:rsidRPr="00E96B7D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D075E8">
        <w:rPr>
          <w:rFonts w:ascii="Times New Roman" w:hAnsi="Times New Roman"/>
          <w:b/>
          <w:sz w:val="24"/>
          <w:szCs w:val="24"/>
        </w:rPr>
        <w:t>2</w:t>
      </w:r>
      <w:r w:rsidRPr="00E96B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Adult and pediatric 2017 baseline Standardized Antimicrobial Administration Ratio (SAAR) risk models, by SAAR antimicrobial agent category.</w:t>
      </w:r>
      <w:r w:rsidRPr="00B15A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827" w:type="dxa"/>
        <w:tblInd w:w="-720" w:type="dxa"/>
        <w:tblLook w:val="04A0" w:firstRow="1" w:lastRow="0" w:firstColumn="1" w:lastColumn="0" w:noHBand="0" w:noVBand="1"/>
      </w:tblPr>
      <w:tblGrid>
        <w:gridCol w:w="5760"/>
        <w:gridCol w:w="180"/>
        <w:gridCol w:w="867"/>
        <w:gridCol w:w="180"/>
        <w:gridCol w:w="483"/>
        <w:gridCol w:w="118"/>
        <w:gridCol w:w="602"/>
        <w:gridCol w:w="180"/>
        <w:gridCol w:w="541"/>
        <w:gridCol w:w="184"/>
        <w:gridCol w:w="828"/>
        <w:gridCol w:w="103"/>
        <w:gridCol w:w="837"/>
        <w:gridCol w:w="79"/>
      </w:tblGrid>
      <w:tr w:rsidR="00F2379E" w:rsidRPr="003C62B5" w:rsidTr="00D075E8">
        <w:trPr>
          <w:gridAfter w:val="1"/>
          <w:wAfter w:w="79" w:type="dxa"/>
          <w:trHeight w:val="332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Adult: B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road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spectrum antibacterial agents predominantly used for hospital-onset infections </w:t>
            </w:r>
          </w:p>
        </w:tc>
      </w:tr>
      <w:tr w:rsidR="00F2379E" w:rsidRPr="003C62B5" w:rsidTr="00D075E8">
        <w:trPr>
          <w:gridAfter w:val="1"/>
          <w:wAfter w:w="79" w:type="dxa"/>
          <w:trHeight w:val="476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  <w:szCs w:val="6"/>
              </w:rPr>
            </w:pP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-2.336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-2.43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-2.24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226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Medical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1.008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531.</w:t>
            </w: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Medical-surgical ICU, surgical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0.883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0.83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0.94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982.0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General hematology-oncology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0.380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43.1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Step-down unit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49.3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Medical-surgical ward,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Veterans Affairs (VA)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-0.182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-0.24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Critical access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-0.247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-0.42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7.9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377">
              <w:rPr>
                <w:rFonts w:ascii="Times New Roman" w:eastAsia="Times New Roman" w:hAnsi="Times New Roman"/>
              </w:rPr>
              <w:t xml:space="preserve">   Military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77">
              <w:rPr>
                <w:rFonts w:ascii="Times New Roman" w:eastAsia="Times New Roman" w:hAnsi="Times New Roman"/>
              </w:rPr>
              <w:t>-0.628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77">
              <w:rPr>
                <w:rFonts w:ascii="Times New Roman" w:eastAsia="Times New Roman" w:hAnsi="Times New Roman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77">
              <w:rPr>
                <w:rFonts w:ascii="Times New Roman" w:eastAsia="Times New Roman" w:hAnsi="Times New Roman"/>
              </w:rPr>
              <w:t>-0.75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77">
              <w:rPr>
                <w:rFonts w:ascii="Times New Roman" w:eastAsia="Times New Roman" w:hAnsi="Times New Roman"/>
              </w:rPr>
              <w:t>-0.50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77">
              <w:rPr>
                <w:rFonts w:ascii="Times New Roman" w:eastAsia="Times New Roman" w:hAnsi="Times New Roman"/>
              </w:rPr>
              <w:t>99.</w:t>
            </w: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Women's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-1.192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-1.83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-0.55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General acute, oncology, surgical,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ICU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0.173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≥3.6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0.109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18.0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&lt;3.6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Teaching Status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Undergraduate only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0.139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22.</w:t>
            </w:r>
            <w:r>
              <w:rPr>
                <w:rFonts w:ascii="Times New Roman" w:eastAsia="Times New Roman" w:hAnsi="Times New Roman"/>
                <w:color w:val="000000"/>
              </w:rPr>
              <w:t>09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None, Graduate, Major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80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dult: B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road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spectrum antibacterial agents predominantly used for community-acquired infections</w:t>
            </w:r>
          </w:p>
        </w:tc>
      </w:tr>
      <w:tr w:rsidR="00F2379E" w:rsidRPr="003C62B5" w:rsidTr="00D075E8">
        <w:trPr>
          <w:gridAfter w:val="1"/>
          <w:wAfter w:w="79" w:type="dxa"/>
          <w:trHeight w:val="557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-3.949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-4.31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-3.59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472.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ICU, medical ward, general hem-</w:t>
            </w:r>
            <w:proofErr w:type="spellStart"/>
            <w:r w:rsidRPr="00827377">
              <w:rPr>
                <w:rFonts w:ascii="Times New Roman" w:eastAsia="Times New Roman" w:hAnsi="Times New Roman"/>
                <w:color w:val="000000"/>
              </w:rPr>
              <w:t>onc</w:t>
            </w:r>
            <w:proofErr w:type="spellEnd"/>
            <w:r w:rsidRPr="00827377">
              <w:rPr>
                <w:rFonts w:ascii="Times New Roman" w:eastAsia="Times New Roman" w:hAnsi="Times New Roman"/>
                <w:color w:val="000000"/>
              </w:rPr>
              <w:t xml:space="preserve">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0.360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197.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Medical-surgical ICU, medical-surgical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0.294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136.</w:t>
            </w: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Step-down unit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46.9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ICU,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Critical access, general acute care, oncology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1.538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1.89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73.</w:t>
            </w: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Surgical, Veterans Affairs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1.281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49.4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Military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1.078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1.44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33.</w:t>
            </w: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Women's,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&lt;4.5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0.171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63.6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4.5 - 5.1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&lt;135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99.</w:t>
            </w: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135 - 330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0.155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65.9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≥331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ICU beds (as a percentage of total beds)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&lt;7.6%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23.2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≥7.6%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59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Adult: A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ntibacterial agents predominantly used for resistant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g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ram-positive infections (e.g., MRSA)</w:t>
            </w:r>
          </w:p>
        </w:tc>
      </w:tr>
      <w:tr w:rsidR="00F2379E" w:rsidRPr="003C62B5" w:rsidTr="00D075E8">
        <w:trPr>
          <w:gridAfter w:val="1"/>
          <w:wAfter w:w="79" w:type="dxa"/>
          <w:trHeight w:val="512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-4.002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-4.39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-3.61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402.</w:t>
            </w: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ICU, medical-surgical ICU, surgical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0.838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0.77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667.</w:t>
            </w: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 ward, med-surg ward, hem-</w:t>
            </w:r>
            <w:proofErr w:type="spellStart"/>
            <w:r w:rsidRPr="00827377">
              <w:rPr>
                <w:rFonts w:ascii="Times New Roman" w:eastAsia="Times New Roman" w:hAnsi="Times New Roman"/>
                <w:color w:val="000000"/>
              </w:rPr>
              <w:t>onc</w:t>
            </w:r>
            <w:proofErr w:type="spellEnd"/>
            <w:r w:rsidRPr="00827377">
              <w:rPr>
                <w:rFonts w:ascii="Times New Roman" w:eastAsia="Times New Roman" w:hAnsi="Times New Roman"/>
                <w:color w:val="000000"/>
              </w:rPr>
              <w:t xml:space="preserve"> ward, step-down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0.144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Critical access, general acute care, oncology, surgical, VA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1.129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33.</w:t>
            </w: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Military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0.701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12.0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Women's,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≥66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&lt;66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≥3.3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0.191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51.</w:t>
            </w: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&lt;3.3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50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Adult: N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arrow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spectrum beta-lactam agents</w:t>
            </w:r>
          </w:p>
        </w:tc>
      </w:tr>
      <w:tr w:rsidR="00F2379E" w:rsidRPr="003C62B5" w:rsidTr="00D075E8">
        <w:trPr>
          <w:gridAfter w:val="1"/>
          <w:wAfter w:w="79" w:type="dxa"/>
          <w:trHeight w:val="494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-3.223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-3.36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-3.09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2101.8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ICU,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1.129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276.1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Medical-surgical ICU, medical-surgical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0.500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60.</w:t>
            </w: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Step-down unit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0.286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17.5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ICU, medical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0.215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General hematology-oncology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0.261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75.2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≥5.8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0.173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26.4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0.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3.5 - 5.7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ICU beds (as a percentage of total beds)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≥8.6%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&lt;8.6%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≥222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23.</w:t>
            </w: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&lt;222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14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Adult: A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ntifungal agents predominantly used for invasive candidiasis </w:t>
            </w:r>
          </w:p>
        </w:tc>
      </w:tr>
      <w:tr w:rsidR="00F2379E" w:rsidRPr="003C62B5" w:rsidTr="00D075E8">
        <w:trPr>
          <w:gridAfter w:val="1"/>
          <w:wAfter w:w="79" w:type="dxa"/>
          <w:trHeight w:val="539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-6.739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-7.44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-6.04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352.</w:t>
            </w: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ICU, general hematology-oncology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1.264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1.38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440.7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ICU, medical-surgical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0.899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0.83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609.3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Step-down unit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ward, medical-surgical ward,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ICU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≥78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0.761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0.62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113.</w:t>
            </w: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15 - 77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0.480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53.6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8 - 14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0.331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21.6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176 - 306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20.</w:t>
            </w: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&lt;176 or ≥307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Oncology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3.537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2.38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4.70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35.7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Critical access, general acute care, surgical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1.924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1.23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2.62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29.4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Military, Veterans Affairs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1.539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0.84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2.24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18.5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Women's,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0.384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48.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4.5 - 5.1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0.255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3.0 - 4.4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0.169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&lt;3.0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41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Adult: C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omplementary group of antibacterial</w:t>
            </w:r>
            <w:r w:rsidR="0080076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agent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 </w:t>
            </w:r>
          </w:p>
        </w:tc>
      </w:tr>
      <w:tr w:rsidR="00F2379E" w:rsidRPr="003C62B5" w:rsidTr="00D075E8">
        <w:trPr>
          <w:gridAfter w:val="1"/>
          <w:wAfter w:w="79" w:type="dxa"/>
          <w:trHeight w:val="539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-2.555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-2.66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-2.45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2343.2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0.498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163.</w:t>
            </w: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Medical-surgical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120.</w:t>
            </w:r>
            <w:r>
              <w:rPr>
                <w:rFonts w:ascii="Times New Roman" w:eastAsia="Times New Roman" w:hAnsi="Times New Roman"/>
                <w:color w:val="000000"/>
              </w:rPr>
              <w:t>09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ICU, medical ward, medical-surgical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0.215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73.3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General hematology-oncology ward, step-down unit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25.1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0.185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54.6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Critical access, general acute care, oncology, surgical,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0.376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59.7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women's,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Veterans Affairs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0.271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Military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23"/>
        </w:trPr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Adult: A</w:t>
            </w:r>
            <w:r w:rsidRPr="003C62B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ntibacterial agents posing the highest risk for CDI</w:t>
            </w:r>
          </w:p>
        </w:tc>
      </w:tr>
      <w:tr w:rsidR="00F2379E" w:rsidRPr="003C62B5" w:rsidTr="00D075E8">
        <w:trPr>
          <w:gridAfter w:val="1"/>
          <w:wAfter w:w="79" w:type="dxa"/>
          <w:trHeight w:val="467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gridAfter w:val="1"/>
          <w:wAfter w:w="79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-2.675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-2.78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-2.57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2323.7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ICU, med-surg ICU, general hem-</w:t>
            </w:r>
            <w:proofErr w:type="spellStart"/>
            <w:r w:rsidRPr="00827377">
              <w:rPr>
                <w:rFonts w:ascii="Times New Roman" w:eastAsia="Times New Roman" w:hAnsi="Times New Roman"/>
                <w:color w:val="000000"/>
              </w:rPr>
              <w:t>onc</w:t>
            </w:r>
            <w:proofErr w:type="spellEnd"/>
            <w:r w:rsidRPr="00827377">
              <w:rPr>
                <w:rFonts w:ascii="Times New Roman" w:eastAsia="Times New Roman" w:hAnsi="Times New Roman"/>
                <w:color w:val="000000"/>
              </w:rPr>
              <w:t xml:space="preserve">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0.492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309.1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Medical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0.339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141.5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ICU, medical-surgical ward, step-down unit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0.269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107.</w:t>
            </w: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F</w:t>
            </w:r>
            <w:r>
              <w:rPr>
                <w:rFonts w:ascii="Times New Roman" w:eastAsia="Times New Roman" w:hAnsi="Times New Roman"/>
                <w:color w:val="000000"/>
              </w:rPr>
              <w:t>ac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</w:rPr>
              <w:t>Cr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itical access, general acute care, oncology, surgical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0.501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109.6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Veterans Affairs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0.243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Military, women's,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Teaching status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None, undergraduate, graduate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0.081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21.0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Major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0.077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&lt;442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0.147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46.7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≥442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>u</w:t>
            </w:r>
            <w:r w:rsidRPr="00827377">
              <w:rPr>
                <w:rFonts w:ascii="Times New Roman" w:eastAsia="Times New Roman" w:hAnsi="Times New Roman"/>
                <w:color w:val="000000"/>
              </w:rPr>
              <w:t>mber of ICU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&lt;15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0.063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9.6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 xml:space="preserve">   ≥15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gridAfter w:val="1"/>
          <w:wAfter w:w="79" w:type="dxa"/>
          <w:trHeight w:val="301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827377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737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32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road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spectrum antibacterial agents predominantly used for hospital-onset infections </w:t>
            </w:r>
          </w:p>
        </w:tc>
      </w:tr>
      <w:tr w:rsidR="00F2379E" w:rsidRPr="003C62B5" w:rsidTr="00D075E8">
        <w:trPr>
          <w:trHeight w:val="476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-3.004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-3.32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-2.69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354.4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ICU beds (as a percentage of total beds)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≥16.6%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0.014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&lt;16.6%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Location/Facility type combination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Med-surg ICU in children's, general acute, military, women's    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0.756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1.11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17.3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&amp; children's hospitals 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Med ward in children's hospitals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Med-surg ward in children's, general acute care, military,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0.013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women's &amp; children's hospitals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 ICU in general acute care hospitals 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Med ward in   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general acute, military, women's &amp; children's hospitals 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47" w:type="dxa"/>
            <w:gridSpan w:val="2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Surg ward in children's, general acute care hospitals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50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road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spectrum antibacterial agents predominantly used for community-acquired infections</w:t>
            </w:r>
          </w:p>
        </w:tc>
      </w:tr>
      <w:tr w:rsidR="00F2379E" w:rsidRPr="003C62B5" w:rsidTr="00D075E8">
        <w:trPr>
          <w:trHeight w:val="503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-2.886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-3.12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-2.65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596.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&lt;450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34.</w:t>
            </w: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≥450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General acute care,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0.548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36.2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Children's, military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ICU, medical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ward, medical ward,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5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arrow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spectrum beta-lactam agents</w:t>
            </w:r>
          </w:p>
        </w:tc>
      </w:tr>
      <w:tr w:rsidR="00F2379E" w:rsidRPr="003C62B5" w:rsidTr="00D075E8">
        <w:trPr>
          <w:trHeight w:val="449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-2.470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-2.39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3261.</w:t>
            </w: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Location/Facility type combination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Med-surg ICU in children's hospitals 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Surg ward in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0.657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children's,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general acute care hospitals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 and med-surg ward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in children's, general acute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care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,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military,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women's &amp; children's hospitals 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Med-surg ICU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in general 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acute, military, women's &amp; children's hospitals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 ICU in general acute care hospitals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&lt;204 or ≥450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204 - 449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68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ntibacterial agents predominantly used for resistant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g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ram-positive infections (e.g., MRSA)</w:t>
            </w:r>
          </w:p>
        </w:tc>
      </w:tr>
      <w:tr w:rsidR="00F2379E" w:rsidRPr="003C62B5" w:rsidTr="00D075E8">
        <w:trPr>
          <w:trHeight w:val="449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-2.552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-2.45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2436.9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ICU location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0.65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23.</w:t>
            </w: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23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zithromycin</w:t>
            </w:r>
          </w:p>
        </w:tc>
      </w:tr>
      <w:tr w:rsidR="00F2379E" w:rsidRPr="003C62B5" w:rsidTr="00D075E8">
        <w:trPr>
          <w:trHeight w:val="494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-6.232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-6.99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-5.47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258.2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ICU, medical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2.350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3.11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36.</w:t>
            </w: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ward, medical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1.969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2.71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26.8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&lt;204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4.</w:t>
            </w: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0.03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204 - 276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1.346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51.9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277 - 449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0.803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29.2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≥450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14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ntifungal agents predominantly used for invasive candidiasis </w:t>
            </w:r>
          </w:p>
        </w:tc>
      </w:tr>
      <w:tr w:rsidR="00F2379E" w:rsidRPr="003C62B5" w:rsidTr="00D075E8">
        <w:trPr>
          <w:trHeight w:val="557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-5.579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-5.85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-5.31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1608.5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ICU beds (as a percentage of total beds)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≥16.6%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0.957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31.</w:t>
            </w: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&lt;16.6%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ICU, medical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1.136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1.48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42.6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ward, medical ward,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296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omplementary group of antibacterial</w:t>
            </w:r>
            <w:r w:rsidR="0080076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agent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 </w:t>
            </w:r>
          </w:p>
        </w:tc>
      </w:tr>
      <w:tr w:rsidR="00F2379E" w:rsidRPr="003C62B5" w:rsidTr="00D075E8">
        <w:trPr>
          <w:trHeight w:val="530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-3.338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-3.51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-3.17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1467.3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ICU beds (as a percentage of total beds)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≥16.6%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0.638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54.0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&lt;16.6%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Average length of hospital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≥4.5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7.</w:t>
            </w: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&lt;4.5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≥450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0.014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&lt;450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23"/>
        </w:trPr>
        <w:tc>
          <w:tcPr>
            <w:tcW w:w="10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Pediatric: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</w:t>
            </w: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ntibacterial agents posing the highest risk for CDI</w:t>
            </w:r>
          </w:p>
        </w:tc>
      </w:tr>
      <w:tr w:rsidR="00F2379E" w:rsidRPr="003C62B5" w:rsidTr="00D075E8">
        <w:trPr>
          <w:trHeight w:val="503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Estimate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SE¹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95% CLs²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3583">
              <w:rPr>
                <w:rFonts w:ascii="Times New Roman" w:eastAsia="Times New Roman" w:hAnsi="Times New Roman"/>
                <w:b/>
                <w:bCs/>
                <w:color w:val="000000"/>
              </w:rPr>
              <w:t>Wald χ2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χ2 </w:t>
            </w:r>
            <w:r w:rsidRPr="00D57254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</w:t>
            </w:r>
            <w:r w:rsidRPr="00827377">
              <w:rPr>
                <w:rFonts w:ascii="Times New Roman" w:eastAsia="Times New Roman" w:hAnsi="Times New Roman"/>
                <w:b/>
                <w:bCs/>
                <w:color w:val="000000"/>
              </w:rPr>
              <w:t>alue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Intercept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-2.275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-2.04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371.</w:t>
            </w: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Location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ICU, medical ICU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11.3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Medical-surgical ward, medical ward, surgical ward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Number of hospital beds, facility-wide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&lt;386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15.7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.001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≥386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Average length of stay, facility-wide (in days)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4.1 - 4.7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0.214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&lt;4.1 or ≥4.8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Facility type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General acute care, women's &amp; children's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0.366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</w:t>
            </w:r>
            <w:r w:rsidRPr="004A3583">
              <w:rPr>
                <w:rFonts w:ascii="Times New Roman" w:eastAsia="Times New Roman" w:hAnsi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 xml:space="preserve">   Children's, military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2379E" w:rsidRPr="003C62B5" w:rsidTr="00D075E8">
        <w:trPr>
          <w:trHeight w:val="301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9E" w:rsidRPr="004A3583" w:rsidRDefault="00F2379E" w:rsidP="00D0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58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2379E" w:rsidRPr="00F62DCD" w:rsidRDefault="00F2379E" w:rsidP="00F2379E">
      <w:pPr>
        <w:spacing w:after="0" w:line="240" w:lineRule="auto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Abbreviations:</w:t>
      </w:r>
    </w:p>
    <w:p w:rsidR="00F2379E" w:rsidRPr="00F62DCD" w:rsidRDefault="00F2379E" w:rsidP="00F2379E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  <w:r w:rsidRPr="00F62DCD">
        <w:rPr>
          <w:rFonts w:ascii="Times New Roman" w:hAnsi="Times New Roman"/>
          <w:sz w:val="20"/>
          <w:szCs w:val="20"/>
          <w:vertAlign w:val="superscript"/>
        </w:rPr>
        <w:t>1</w:t>
      </w:r>
      <w:r w:rsidRPr="00F62DCD">
        <w:rPr>
          <w:rFonts w:ascii="Times New Roman" w:hAnsi="Times New Roman"/>
          <w:sz w:val="20"/>
          <w:szCs w:val="20"/>
        </w:rPr>
        <w:t>SE=standard error</w:t>
      </w:r>
    </w:p>
    <w:p w:rsidR="00F2379E" w:rsidRPr="00F62DCD" w:rsidRDefault="00F2379E" w:rsidP="00F2379E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  <w:r w:rsidRPr="00F62DCD">
        <w:rPr>
          <w:rFonts w:ascii="Times New Roman" w:hAnsi="Times New Roman"/>
          <w:sz w:val="20"/>
          <w:szCs w:val="20"/>
          <w:vertAlign w:val="superscript"/>
        </w:rPr>
        <w:t>2</w:t>
      </w:r>
      <w:r w:rsidRPr="00F62DCD">
        <w:rPr>
          <w:rFonts w:ascii="Times New Roman" w:hAnsi="Times New Roman"/>
          <w:sz w:val="20"/>
          <w:szCs w:val="20"/>
        </w:rPr>
        <w:t>CLs=confidence limits</w:t>
      </w:r>
    </w:p>
    <w:p w:rsidR="00F2379E" w:rsidRDefault="00F2379E" w:rsidP="00F2379E">
      <w:pPr>
        <w:spacing w:line="240" w:lineRule="auto"/>
        <w:rPr>
          <w:rFonts w:ascii="Times New Roman" w:hAnsi="Times New Roman"/>
        </w:rPr>
      </w:pPr>
    </w:p>
    <w:p w:rsidR="00F2379E" w:rsidRDefault="00F2379E" w:rsidP="00F2379E">
      <w:pPr>
        <w:spacing w:line="240" w:lineRule="auto"/>
        <w:rPr>
          <w:rFonts w:ascii="Times New Roman" w:hAnsi="Times New Roman"/>
        </w:rPr>
      </w:pPr>
    </w:p>
    <w:p w:rsidR="00F2379E" w:rsidRDefault="00F2379E"/>
    <w:sectPr w:rsidR="00F2379E" w:rsidSect="00D075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E8" w:rsidRDefault="00D075E8">
      <w:pPr>
        <w:spacing w:after="0" w:line="240" w:lineRule="auto"/>
      </w:pPr>
      <w:r>
        <w:separator/>
      </w:r>
    </w:p>
  </w:endnote>
  <w:endnote w:type="continuationSeparator" w:id="0">
    <w:p w:rsidR="00D075E8" w:rsidRDefault="00D0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E8" w:rsidRPr="00103A3D" w:rsidRDefault="00D075E8">
    <w:pPr>
      <w:pStyle w:val="Footer"/>
      <w:jc w:val="right"/>
      <w:rPr>
        <w:rFonts w:ascii="Times New Roman" w:hAnsi="Times New Roman"/>
      </w:rPr>
    </w:pPr>
    <w:r w:rsidRPr="00103A3D">
      <w:rPr>
        <w:rFonts w:ascii="Times New Roman" w:hAnsi="Times New Roman"/>
      </w:rPr>
      <w:fldChar w:fldCharType="begin"/>
    </w:r>
    <w:r w:rsidRPr="00103A3D">
      <w:rPr>
        <w:rFonts w:ascii="Times New Roman" w:hAnsi="Times New Roman"/>
      </w:rPr>
      <w:instrText xml:space="preserve"> PAGE   \* MERGEFORMAT </w:instrText>
    </w:r>
    <w:r w:rsidRPr="00103A3D">
      <w:rPr>
        <w:rFonts w:ascii="Times New Roman" w:hAnsi="Times New Roman"/>
      </w:rPr>
      <w:fldChar w:fldCharType="separate"/>
    </w:r>
    <w:r w:rsidRPr="00103A3D">
      <w:rPr>
        <w:rFonts w:ascii="Times New Roman" w:hAnsi="Times New Roman"/>
        <w:noProof/>
      </w:rPr>
      <w:t>2</w:t>
    </w:r>
    <w:r w:rsidRPr="00103A3D">
      <w:rPr>
        <w:rFonts w:ascii="Times New Roman" w:hAnsi="Times New Roman"/>
        <w:noProof/>
      </w:rPr>
      <w:fldChar w:fldCharType="end"/>
    </w:r>
  </w:p>
  <w:p w:rsidR="00D075E8" w:rsidRDefault="00D0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E8" w:rsidRDefault="00D075E8">
      <w:pPr>
        <w:spacing w:after="0" w:line="240" w:lineRule="auto"/>
      </w:pPr>
      <w:r>
        <w:separator/>
      </w:r>
    </w:p>
  </w:footnote>
  <w:footnote w:type="continuationSeparator" w:id="0">
    <w:p w:rsidR="00D075E8" w:rsidRDefault="00D0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33C"/>
    <w:multiLevelType w:val="hybridMultilevel"/>
    <w:tmpl w:val="EC10AE62"/>
    <w:lvl w:ilvl="0" w:tplc="9466B2E4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49F7"/>
    <w:multiLevelType w:val="hybridMultilevel"/>
    <w:tmpl w:val="967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A33"/>
    <w:multiLevelType w:val="hybridMultilevel"/>
    <w:tmpl w:val="1966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904"/>
    <w:multiLevelType w:val="hybridMultilevel"/>
    <w:tmpl w:val="E9C2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177D"/>
    <w:multiLevelType w:val="hybridMultilevel"/>
    <w:tmpl w:val="734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77BE"/>
    <w:multiLevelType w:val="hybridMultilevel"/>
    <w:tmpl w:val="8AE4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0B79"/>
    <w:multiLevelType w:val="hybridMultilevel"/>
    <w:tmpl w:val="D17E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E4F"/>
    <w:multiLevelType w:val="hybridMultilevel"/>
    <w:tmpl w:val="5F8C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3E2B"/>
    <w:multiLevelType w:val="hybridMultilevel"/>
    <w:tmpl w:val="702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2DC6"/>
    <w:multiLevelType w:val="hybridMultilevel"/>
    <w:tmpl w:val="3BC4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E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E421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7E6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3B3D"/>
    <w:multiLevelType w:val="hybridMultilevel"/>
    <w:tmpl w:val="E7A4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4854"/>
    <w:multiLevelType w:val="hybridMultilevel"/>
    <w:tmpl w:val="1BA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E10FF"/>
    <w:multiLevelType w:val="hybridMultilevel"/>
    <w:tmpl w:val="A8DC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2DBA"/>
    <w:multiLevelType w:val="hybridMultilevel"/>
    <w:tmpl w:val="EDC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1EF1"/>
    <w:multiLevelType w:val="hybridMultilevel"/>
    <w:tmpl w:val="102A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53E38"/>
    <w:multiLevelType w:val="hybridMultilevel"/>
    <w:tmpl w:val="D08889C8"/>
    <w:lvl w:ilvl="0" w:tplc="2A0457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4FE"/>
    <w:multiLevelType w:val="hybridMultilevel"/>
    <w:tmpl w:val="2394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9E"/>
    <w:rsid w:val="00103A3D"/>
    <w:rsid w:val="002643AF"/>
    <w:rsid w:val="006F3529"/>
    <w:rsid w:val="00800769"/>
    <w:rsid w:val="00817D90"/>
    <w:rsid w:val="0085280F"/>
    <w:rsid w:val="00A90B95"/>
    <w:rsid w:val="00C843A8"/>
    <w:rsid w:val="00D075E8"/>
    <w:rsid w:val="00E00C08"/>
    <w:rsid w:val="00F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66F5"/>
  <w15:chartTrackingRefBased/>
  <w15:docId w15:val="{8EAD8CC9-D5E1-4844-BDDC-711B341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9E"/>
    <w:pPr>
      <w:ind w:left="720"/>
      <w:contextualSpacing/>
    </w:pPr>
  </w:style>
  <w:style w:type="character" w:styleId="Hyperlink">
    <w:name w:val="Hyperlink"/>
    <w:uiPriority w:val="99"/>
    <w:unhideWhenUsed/>
    <w:rsid w:val="00F2379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2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79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79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9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9E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F2379E"/>
    <w:rPr>
      <w:rFonts w:ascii="Lato" w:hAnsi="Lato" w:hint="default"/>
      <w:i/>
      <w:iCs/>
    </w:rPr>
  </w:style>
  <w:style w:type="character" w:styleId="UnresolvedMention">
    <w:name w:val="Unresolved Mention"/>
    <w:uiPriority w:val="99"/>
    <w:semiHidden/>
    <w:unhideWhenUsed/>
    <w:rsid w:val="00F2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Erin (CDC/DDID/NCEZID/DHQP) (CTR)</dc:creator>
  <cp:keywords/>
  <dc:description/>
  <cp:lastModifiedBy>O'Leary, Erin (CDC/DDID/NCEZID/DHQP) (CTR)</cp:lastModifiedBy>
  <cp:revision>5</cp:revision>
  <dcterms:created xsi:type="dcterms:W3CDTF">2020-02-18T21:21:00Z</dcterms:created>
  <dcterms:modified xsi:type="dcterms:W3CDTF">2020-03-09T17:54:00Z</dcterms:modified>
</cp:coreProperties>
</file>