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8E4F" w14:textId="77777777" w:rsidR="00142955" w:rsidRDefault="00142955" w:rsidP="00142955">
      <w:pPr>
        <w:spacing w:line="480" w:lineRule="auto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Supplemental Materials</w:t>
      </w:r>
    </w:p>
    <w:p w14:paraId="37A66050" w14:textId="77777777" w:rsidR="00142955" w:rsidRDefault="00142955" w:rsidP="00142955">
      <w:pPr>
        <w:spacing w:line="480" w:lineRule="auto"/>
        <w:rPr>
          <w:b/>
          <w:bCs/>
          <w:noProof/>
          <w:sz w:val="32"/>
          <w:szCs w:val="32"/>
        </w:rPr>
      </w:pPr>
    </w:p>
    <w:p w14:paraId="04C9C152" w14:textId="4F4E291A" w:rsidR="00142955" w:rsidRPr="000975A8" w:rsidRDefault="00142955" w:rsidP="00142955">
      <w:pPr>
        <w:spacing w:line="480" w:lineRule="auto"/>
        <w:rPr>
          <w:noProof/>
        </w:rPr>
      </w:pPr>
      <w:r w:rsidRPr="000975A8">
        <w:rPr>
          <w:noProof/>
        </w:rPr>
        <w:t>Impact of “healthier” materials intervention</w:t>
      </w:r>
      <w:r w:rsidR="00870D05">
        <w:rPr>
          <w:noProof/>
        </w:rPr>
        <w:t>s</w:t>
      </w:r>
      <w:r w:rsidRPr="000975A8">
        <w:rPr>
          <w:noProof/>
        </w:rPr>
        <w:t xml:space="preserve"> on dust concentrations of per- and polyfluoroalkyl substances, polybrominated diphenyl ethers, and organophosphate esters</w:t>
      </w:r>
    </w:p>
    <w:p w14:paraId="4B0A1B9D" w14:textId="77777777" w:rsidR="00142955" w:rsidRDefault="00142955" w:rsidP="00142955">
      <w:pPr>
        <w:spacing w:line="480" w:lineRule="auto"/>
      </w:pPr>
    </w:p>
    <w:p w14:paraId="5DD2320C" w14:textId="4A5C72A4" w:rsidR="00142955" w:rsidRDefault="00142955" w:rsidP="00142955">
      <w:pPr>
        <w:spacing w:line="480" w:lineRule="auto"/>
      </w:pPr>
      <w:r>
        <w:t>Anna S. Young</w:t>
      </w:r>
      <w:r>
        <w:rPr>
          <w:vertAlign w:val="superscript"/>
        </w:rPr>
        <w:t>1,2</w:t>
      </w:r>
      <w:r>
        <w:t>, Russ Hauser</w:t>
      </w:r>
      <w:r>
        <w:rPr>
          <w:vertAlign w:val="superscript"/>
        </w:rPr>
        <w:t>1</w:t>
      </w:r>
      <w:r>
        <w:t>, Tamarra James-Todd</w:t>
      </w:r>
      <w:r>
        <w:rPr>
          <w:vertAlign w:val="superscript"/>
        </w:rPr>
        <w:t>1</w:t>
      </w:r>
      <w:r>
        <w:t>, Brent A. Coull</w:t>
      </w:r>
      <w:r>
        <w:rPr>
          <w:vertAlign w:val="superscript"/>
        </w:rPr>
        <w:t>1</w:t>
      </w:r>
      <w:r>
        <w:t>, Hongkai Zhu</w:t>
      </w:r>
      <w:r>
        <w:rPr>
          <w:vertAlign w:val="superscript"/>
        </w:rPr>
        <w:t>3</w:t>
      </w:r>
      <w:r>
        <w:t>, Kurunthachalam Kannan</w:t>
      </w:r>
      <w:r>
        <w:rPr>
          <w:vertAlign w:val="superscript"/>
        </w:rPr>
        <w:t>3</w:t>
      </w:r>
      <w:r>
        <w:t>, Aaron Specht</w:t>
      </w:r>
      <w:r>
        <w:rPr>
          <w:vertAlign w:val="superscript"/>
        </w:rPr>
        <w:t>1</w:t>
      </w:r>
      <w:r>
        <w:t>, Maya S. Bliss</w:t>
      </w:r>
      <w:r>
        <w:rPr>
          <w:vertAlign w:val="superscript"/>
        </w:rPr>
        <w:t>1</w:t>
      </w:r>
      <w:r>
        <w:t>, Joseph G. Allen</w:t>
      </w:r>
      <w:r>
        <w:rPr>
          <w:vertAlign w:val="superscript"/>
        </w:rPr>
        <w:t>1</w:t>
      </w:r>
      <w:r>
        <w:t xml:space="preserve"> </w:t>
      </w:r>
    </w:p>
    <w:p w14:paraId="63D6D24B" w14:textId="77777777" w:rsidR="00142955" w:rsidRDefault="00142955" w:rsidP="00142955">
      <w:pPr>
        <w:spacing w:line="480" w:lineRule="auto"/>
      </w:pPr>
    </w:p>
    <w:p w14:paraId="434E8294" w14:textId="77777777" w:rsidR="00142955" w:rsidRDefault="00142955" w:rsidP="00142955">
      <w:pPr>
        <w:spacing w:line="480" w:lineRule="auto"/>
      </w:pPr>
      <w:r>
        <w:rPr>
          <w:vertAlign w:val="superscript"/>
        </w:rPr>
        <w:t>1</w:t>
      </w:r>
      <w:r>
        <w:t xml:space="preserve"> Harvard T.H. Chan School of Public Health, Boston, MA, USA</w:t>
      </w:r>
    </w:p>
    <w:p w14:paraId="35F440DB" w14:textId="77777777" w:rsidR="00142955" w:rsidRPr="00554EAE" w:rsidRDefault="00142955" w:rsidP="00142955">
      <w:pPr>
        <w:spacing w:line="480" w:lineRule="auto"/>
      </w:pPr>
      <w:r>
        <w:rPr>
          <w:vertAlign w:val="superscript"/>
        </w:rPr>
        <w:t>2</w:t>
      </w:r>
      <w:r>
        <w:t xml:space="preserve"> Harvard Graduate School of Arts and Sciences, Cambridge, MA, USA</w:t>
      </w:r>
    </w:p>
    <w:p w14:paraId="7668EA45" w14:textId="7484495E" w:rsidR="00142955" w:rsidRDefault="00142955" w:rsidP="00142955">
      <w:pPr>
        <w:spacing w:line="480" w:lineRule="auto"/>
      </w:pPr>
      <w:r>
        <w:rPr>
          <w:vertAlign w:val="superscript"/>
        </w:rPr>
        <w:t xml:space="preserve">3 </w:t>
      </w:r>
      <w:r>
        <w:t>New York University School of Medicine, New York, NY, USA</w:t>
      </w:r>
    </w:p>
    <w:p w14:paraId="5D74D77D" w14:textId="77777777" w:rsidR="001A7894" w:rsidRDefault="001A7894">
      <w:r>
        <w:br w:type="page"/>
      </w:r>
    </w:p>
    <w:p w14:paraId="1428CC45" w14:textId="77777777" w:rsidR="00D00B93" w:rsidRDefault="00D00B93">
      <w:pPr>
        <w:rPr>
          <w:b/>
          <w:bCs/>
          <w:i/>
          <w:iCs/>
        </w:rPr>
        <w:sectPr w:rsidR="00D00B93" w:rsidSect="006208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07C109" w14:textId="51352938" w:rsidR="00D00B93" w:rsidRDefault="00D00B93" w:rsidP="00D00B93">
      <w:pPr>
        <w:spacing w:line="360" w:lineRule="auto"/>
        <w:ind w:firstLine="288"/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b/>
          <w:bCs/>
          <w:sz w:val="18"/>
          <w:szCs w:val="18"/>
        </w:rPr>
        <w:lastRenderedPageBreak/>
        <w:t>Table S1</w:t>
      </w:r>
      <w:r w:rsidRPr="008C0F72">
        <w:rPr>
          <w:rFonts w:cs="Times New Roman"/>
          <w:sz w:val="18"/>
          <w:szCs w:val="18"/>
        </w:rPr>
        <w:t>. MS/MS parameters and QA/QC results for PFAS analysis in this study.</w:t>
      </w:r>
    </w:p>
    <w:p w14:paraId="1A11518B" w14:textId="77777777" w:rsidR="00D00B93" w:rsidRPr="008C0F72" w:rsidRDefault="00D00B93" w:rsidP="00D00B93">
      <w:pPr>
        <w:spacing w:line="360" w:lineRule="auto"/>
        <w:ind w:firstLine="288"/>
        <w:jc w:val="both"/>
        <w:rPr>
          <w:rFonts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3"/>
        <w:gridCol w:w="856"/>
        <w:gridCol w:w="1372"/>
        <w:gridCol w:w="896"/>
        <w:gridCol w:w="888"/>
        <w:gridCol w:w="905"/>
        <w:gridCol w:w="1012"/>
        <w:gridCol w:w="794"/>
        <w:gridCol w:w="1043"/>
        <w:gridCol w:w="1061"/>
        <w:gridCol w:w="768"/>
        <w:gridCol w:w="1102"/>
        <w:gridCol w:w="1130"/>
      </w:tblGrid>
      <w:tr w:rsidR="00D00B93" w:rsidRPr="000D7D55" w14:paraId="78D6574C" w14:textId="77777777" w:rsidTr="00CA6297">
        <w:trPr>
          <w:trHeight w:val="31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552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Compound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678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QT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E9B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IS/SIS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EF2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DP (volts)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46C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EP (volts)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C79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CE (volts)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49C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CXP (volts)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8D2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linearity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318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RB/(ng/mL)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90A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Recovery/%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CC0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ME/%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C9A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LODs/(ng/g)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B65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20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20"/>
              </w:rPr>
              <w:t>LOQs/(ng/g)</w:t>
            </w:r>
          </w:p>
        </w:tc>
      </w:tr>
      <w:tr w:rsidR="00D00B93" w:rsidRPr="000D7D55" w14:paraId="4A9B0A6B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4F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PFBS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B42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299→80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E8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18O2-PFHxS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B1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12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ED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66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76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0.9886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79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EE3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80.1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997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74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7A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21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0.30</w:t>
            </w:r>
          </w:p>
        </w:tc>
      </w:tr>
      <w:tr w:rsidR="00D00B93" w:rsidRPr="000D7D55" w14:paraId="3AACBCFB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AB5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PFHxS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17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399→80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350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18O2-PFHxS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136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2EC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20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A87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3E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6E7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0.149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7F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89.3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AB6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2D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D0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0.20</w:t>
            </w:r>
          </w:p>
        </w:tc>
      </w:tr>
      <w:tr w:rsidR="00D00B93" w:rsidRPr="000D7D55" w14:paraId="356B16A8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A2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5E1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499→99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B7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13C4-PFOS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2C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B0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29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19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1F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F0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E8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F394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9C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D2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0.30</w:t>
            </w:r>
          </w:p>
        </w:tc>
      </w:tr>
      <w:tr w:rsidR="00D00B93" w:rsidRPr="000D7D55" w14:paraId="60B329CC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DA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PFDS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D1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599→99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D7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13C4-PFOS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87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E55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47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33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8C1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01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6FE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6DD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5D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75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0.20</w:t>
            </w:r>
          </w:p>
        </w:tc>
      </w:tr>
      <w:tr w:rsidR="00D00B93" w:rsidRPr="000D7D55" w14:paraId="1342996E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6E1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PFOSA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9A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498→78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A2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13C8-PFOSA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873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CA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49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5C1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16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49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84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6E5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00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91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0.30</w:t>
            </w:r>
          </w:p>
        </w:tc>
      </w:tr>
      <w:tr w:rsidR="00D00B93" w:rsidRPr="000D7D55" w14:paraId="4AC5A7A3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02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N-MeFOSAA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5B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570→419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E51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D3-N-MeFOSAA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61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3F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7B4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59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6E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47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05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248A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35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73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0.50</w:t>
            </w:r>
          </w:p>
        </w:tc>
      </w:tr>
      <w:tr w:rsidR="00D00B93" w:rsidRPr="000D7D55" w14:paraId="53C40FCF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19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PFBA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9F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213→169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F3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13C3-PFBA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FD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38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D9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B9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DA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F6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BE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4DB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A0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9C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2.20</w:t>
            </w:r>
          </w:p>
        </w:tc>
      </w:tr>
      <w:tr w:rsidR="00D00B93" w:rsidRPr="000D7D55" w14:paraId="69143E90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83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PFPeA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8C3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263→219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290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13C3-PFPeA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9B3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987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385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6F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14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53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B14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93.7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323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03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25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2.50</w:t>
            </w:r>
          </w:p>
        </w:tc>
      </w:tr>
      <w:tr w:rsidR="00D00B93" w:rsidRPr="000D7D55" w14:paraId="28F9BD2B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2D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PFHxA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8D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313→269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1A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13C2-PFHxA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B7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0D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8C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F6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01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21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EB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95.9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039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155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7F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64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1.00</w:t>
            </w:r>
          </w:p>
        </w:tc>
      </w:tr>
      <w:tr w:rsidR="00D00B93" w:rsidRPr="000D7D55" w14:paraId="1A30C496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05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PFHpA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2D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363→319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C3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13C4-PFHpA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02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D2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0D7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B7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55C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8D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A2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96.6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1A2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56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3A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1.20</w:t>
            </w:r>
          </w:p>
        </w:tc>
      </w:tr>
      <w:tr w:rsidR="00D00B93" w:rsidRPr="000D7D55" w14:paraId="1F515EBD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CF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PFOA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A3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413→369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93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13C4-PFOA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E7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A8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A0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FB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87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4F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8C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97.1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722B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BB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25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2.00</w:t>
            </w:r>
          </w:p>
        </w:tc>
      </w:tr>
      <w:tr w:rsidR="00D00B93" w:rsidRPr="000D7D55" w14:paraId="2DA0DBB6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C8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PFNA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901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463→419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A16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13C5-PFNA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CB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A15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21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93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B3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49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49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82.6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485B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53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F3E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4.50</w:t>
            </w:r>
          </w:p>
        </w:tc>
      </w:tr>
      <w:tr w:rsidR="00D00B93" w:rsidRPr="000D7D55" w14:paraId="28FFD085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E7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B2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513→469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C4B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13C2-PFDA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1C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28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A6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C30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76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0.9957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8F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1B7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67.4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EF9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9F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499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5.00</w:t>
            </w:r>
          </w:p>
        </w:tc>
      </w:tr>
      <w:tr w:rsidR="00D00B93" w:rsidRPr="000D7D55" w14:paraId="59CF1D47" w14:textId="77777777" w:rsidTr="00CA6297">
        <w:trPr>
          <w:trHeight w:val="31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71C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PFUnDA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13D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563→519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29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13C2-PFUnDA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AD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78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07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768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2095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8C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95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81.1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D9D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7E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2A3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4.00</w:t>
            </w:r>
          </w:p>
        </w:tc>
      </w:tr>
      <w:tr w:rsidR="00D00B93" w:rsidRPr="000D7D55" w14:paraId="307B5F71" w14:textId="77777777" w:rsidTr="00CA6297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11E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PFDoDA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46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613→569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44EA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13C2-PFDoDA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8F7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24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25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25F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-18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8E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0.9996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FB2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CF1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93.8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E5E" w14:textId="77777777" w:rsidR="00D00B93" w:rsidRPr="000D7D55" w:rsidRDefault="00D00B93" w:rsidP="008C0F72">
            <w:pPr>
              <w:rPr>
                <w:rFonts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color w:val="000000"/>
                <w:sz w:val="16"/>
                <w:szCs w:val="20"/>
              </w:rPr>
              <w:t>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684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0.30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2E6" w14:textId="77777777" w:rsidR="00D00B93" w:rsidRPr="000D7D55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20"/>
              </w:rPr>
            </w:pPr>
            <w:r w:rsidRPr="000D7D55">
              <w:rPr>
                <w:rFonts w:eastAsia="Times New Roman" w:cs="Times New Roman"/>
                <w:bCs/>
                <w:color w:val="000000"/>
                <w:sz w:val="16"/>
                <w:szCs w:val="20"/>
              </w:rPr>
              <w:t>1.00</w:t>
            </w:r>
          </w:p>
        </w:tc>
      </w:tr>
    </w:tbl>
    <w:p w14:paraId="5FE5DA74" w14:textId="77777777" w:rsidR="00D00B93" w:rsidRDefault="00D00B93" w:rsidP="00D00B93">
      <w:pPr>
        <w:jc w:val="both"/>
        <w:rPr>
          <w:rFonts w:cs="Times New Roman"/>
          <w:sz w:val="18"/>
          <w:szCs w:val="18"/>
        </w:rPr>
      </w:pPr>
    </w:p>
    <w:p w14:paraId="08093C62" w14:textId="53DCFD14" w:rsidR="00D00B93" w:rsidRPr="008C0F72" w:rsidRDefault="00D00B93" w:rsidP="00D00B93">
      <w:pPr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sz w:val="18"/>
          <w:szCs w:val="18"/>
        </w:rPr>
        <w:t>QT: quantitative transition; IS/SIS: internal standard/surrogate internal standard; DP: declustering potential; EP: entrance potential; CE: collision energy; CXP: collision cell exit potential; linearity: linearity of calibration curve; RB: reagent blank; recovery: recovery of target compounds spiked before extraction; ME: matrix effect; LOD: limit of detection; LOQ: limit of quantification.</w:t>
      </w:r>
    </w:p>
    <w:p w14:paraId="1F120EAB" w14:textId="77777777" w:rsidR="00D00B93" w:rsidRDefault="00D00B93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41A7920" w14:textId="62361E4C" w:rsidR="00D00B93" w:rsidRPr="008C0F72" w:rsidRDefault="00D00B93" w:rsidP="00D00B93">
      <w:pPr>
        <w:spacing w:line="360" w:lineRule="auto"/>
        <w:ind w:firstLine="288"/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b/>
          <w:bCs/>
          <w:sz w:val="18"/>
          <w:szCs w:val="18"/>
        </w:rPr>
        <w:lastRenderedPageBreak/>
        <w:t>Table S</w:t>
      </w:r>
      <w:r>
        <w:rPr>
          <w:rFonts w:cs="Times New Roman"/>
          <w:b/>
          <w:bCs/>
          <w:sz w:val="18"/>
          <w:szCs w:val="18"/>
        </w:rPr>
        <w:t>2</w:t>
      </w:r>
      <w:r w:rsidRPr="008C0F72">
        <w:rPr>
          <w:rFonts w:cs="Times New Roman"/>
          <w:b/>
          <w:bCs/>
          <w:sz w:val="18"/>
          <w:szCs w:val="18"/>
        </w:rPr>
        <w:t>.</w:t>
      </w:r>
      <w:r w:rsidRPr="008C0F72">
        <w:rPr>
          <w:rFonts w:cs="Times New Roman"/>
          <w:sz w:val="18"/>
          <w:szCs w:val="18"/>
        </w:rPr>
        <w:t xml:space="preserve"> MS parameters and QA/QC results for PBDE analysis in this study.</w:t>
      </w:r>
    </w:p>
    <w:tbl>
      <w:tblPr>
        <w:tblW w:w="12780" w:type="dxa"/>
        <w:tblLook w:val="04A0" w:firstRow="1" w:lastRow="0" w:firstColumn="1" w:lastColumn="0" w:noHBand="0" w:noVBand="1"/>
      </w:tblPr>
      <w:tblGrid>
        <w:gridCol w:w="1240"/>
        <w:gridCol w:w="1420"/>
        <w:gridCol w:w="1400"/>
        <w:gridCol w:w="1520"/>
        <w:gridCol w:w="960"/>
        <w:gridCol w:w="1140"/>
        <w:gridCol w:w="1220"/>
        <w:gridCol w:w="960"/>
        <w:gridCol w:w="1440"/>
        <w:gridCol w:w="1480"/>
      </w:tblGrid>
      <w:tr w:rsidR="00D00B93" w:rsidRPr="00DE180A" w14:paraId="4A54309C" w14:textId="77777777" w:rsidTr="00CA629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63B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49A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Ion mass for NS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025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7C3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Ion mass for 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FC9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linearity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17C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RB/(ng/mL)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61E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Recovery/%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F18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ME/%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F87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LODs/(ng/g)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F6C" w14:textId="77777777" w:rsidR="00D00B93" w:rsidRPr="008C0F72" w:rsidRDefault="00D00B93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LOQs/(ng/g)</w:t>
            </w:r>
          </w:p>
        </w:tc>
      </w:tr>
      <w:tr w:rsidR="00D00B93" w:rsidRPr="00DE180A" w14:paraId="1125E18F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A5D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758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406, 408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50F4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7C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418, 420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9E8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E7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EBB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D4E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D3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5B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0.30</w:t>
            </w:r>
          </w:p>
        </w:tc>
      </w:tr>
      <w:tr w:rsidR="00D00B93" w:rsidRPr="00DE180A" w14:paraId="1328ED5D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EA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CE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486, 484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E735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C3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498, 496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0AF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04D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8B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905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108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A3F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0.60</w:t>
            </w:r>
          </w:p>
        </w:tc>
      </w:tr>
      <w:tr w:rsidR="00D00B93" w:rsidRPr="00DE180A" w14:paraId="72904683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08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0A3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404, 406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840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1C9D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416, 418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A2C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C7B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43FF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7B4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2D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0CB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1.20</w:t>
            </w:r>
          </w:p>
        </w:tc>
      </w:tr>
      <w:tr w:rsidR="00D00B93" w:rsidRPr="00DE180A" w14:paraId="20018688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8B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85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404, 406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BCE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E28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416, 418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2B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3E9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6CF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0A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41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67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0.80</w:t>
            </w:r>
          </w:p>
        </w:tc>
      </w:tr>
      <w:tr w:rsidR="00D00B93" w:rsidRPr="00DE180A" w14:paraId="56359A3D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293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31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484, 482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22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FA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496, 494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9E2F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5EE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8E5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F5E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924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234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1.50</w:t>
            </w:r>
          </w:p>
        </w:tc>
      </w:tr>
      <w:tr w:rsidR="00D00B93" w:rsidRPr="00DE180A" w14:paraId="0D0223DF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C96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BF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484, 482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A8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8DA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496, 494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4B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D4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233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87D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275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48C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1.20</w:t>
            </w:r>
          </w:p>
        </w:tc>
      </w:tr>
      <w:tr w:rsidR="00D00B93" w:rsidRPr="00DE180A" w14:paraId="4D515005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0A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AD0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561.7, 563.7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6B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D4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573.7, 575.6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EB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6C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78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933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FEA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D8C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1.50</w:t>
            </w:r>
          </w:p>
        </w:tc>
      </w:tr>
      <w:tr w:rsidR="00D00B93" w:rsidRPr="00DE180A" w14:paraId="376EC00F" w14:textId="77777777" w:rsidTr="00CA629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9B1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BDE-208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80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799, 797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E6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13C-BDE-208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D747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811, 809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1D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384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AB4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7DBB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FD2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973" w14:textId="77777777" w:rsidR="00D00B93" w:rsidRPr="00DE180A" w:rsidRDefault="00D00B93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DE180A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15.0</w:t>
            </w:r>
          </w:p>
        </w:tc>
      </w:tr>
    </w:tbl>
    <w:p w14:paraId="098B4D85" w14:textId="77777777" w:rsidR="00D00B93" w:rsidRDefault="00D00B93" w:rsidP="00D00B93">
      <w:pPr>
        <w:jc w:val="both"/>
        <w:rPr>
          <w:rFonts w:cs="Times New Roman"/>
        </w:rPr>
      </w:pPr>
    </w:p>
    <w:p w14:paraId="2ECACA87" w14:textId="34C87708" w:rsidR="00D00B93" w:rsidRPr="008C0F72" w:rsidRDefault="00D00B93" w:rsidP="00D00B93">
      <w:pPr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sz w:val="18"/>
          <w:szCs w:val="18"/>
        </w:rPr>
        <w:t>NS: native standard; IS: internal standard; linearity: linearity of calibration curve; RB: reagent blank; recovery: recovery of target compounds spiked before extraction; ME: matrix effect; LOD: limit of detection; LOQ: limit of quantification.</w:t>
      </w:r>
    </w:p>
    <w:p w14:paraId="310EBAE3" w14:textId="77777777" w:rsidR="004A68B6" w:rsidRDefault="004A68B6">
      <w:pPr>
        <w:rPr>
          <w:b/>
          <w:bCs/>
          <w:i/>
          <w:iCs/>
        </w:rPr>
      </w:pPr>
    </w:p>
    <w:p w14:paraId="1AF226A1" w14:textId="77777777" w:rsidR="004A68B6" w:rsidRDefault="004A68B6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3D84BED" w14:textId="60E5929B" w:rsidR="004A68B6" w:rsidRPr="008C0F72" w:rsidRDefault="004A68B6" w:rsidP="004A68B6">
      <w:pPr>
        <w:spacing w:line="360" w:lineRule="auto"/>
        <w:ind w:firstLine="288"/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b/>
          <w:bCs/>
          <w:sz w:val="18"/>
          <w:szCs w:val="18"/>
        </w:rPr>
        <w:lastRenderedPageBreak/>
        <w:t xml:space="preserve">Table </w:t>
      </w:r>
      <w:r>
        <w:rPr>
          <w:rFonts w:cs="Times New Roman"/>
          <w:b/>
          <w:bCs/>
          <w:sz w:val="18"/>
          <w:szCs w:val="18"/>
        </w:rPr>
        <w:t>S3</w:t>
      </w:r>
      <w:r w:rsidRPr="008C0F72">
        <w:rPr>
          <w:rFonts w:cs="Times New Roman"/>
          <w:b/>
          <w:bCs/>
          <w:sz w:val="18"/>
          <w:szCs w:val="18"/>
        </w:rPr>
        <w:t>.</w:t>
      </w:r>
      <w:r w:rsidRPr="008C0F72">
        <w:rPr>
          <w:rFonts w:cs="Times New Roman"/>
          <w:sz w:val="18"/>
          <w:szCs w:val="18"/>
        </w:rPr>
        <w:t xml:space="preserve"> MS/MS parameters and QA/QC results for OPE analysis in this study.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1096"/>
        <w:gridCol w:w="1097"/>
        <w:gridCol w:w="896"/>
        <w:gridCol w:w="888"/>
        <w:gridCol w:w="905"/>
        <w:gridCol w:w="1012"/>
        <w:gridCol w:w="794"/>
        <w:gridCol w:w="1043"/>
        <w:gridCol w:w="1061"/>
        <w:gridCol w:w="679"/>
        <w:gridCol w:w="1070"/>
        <w:gridCol w:w="1079"/>
      </w:tblGrid>
      <w:tr w:rsidR="004A68B6" w:rsidRPr="00C24300" w14:paraId="2207E98D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F73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C23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QT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0FF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IS/SIS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7DE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DP (volts)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016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EP (volts)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DED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CE (volts)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015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CXP (volts)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E4E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linearity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6A9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RB/(ng/mL)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071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Recovery/%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9117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ME/%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ABA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LODs/(ng/g)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693" w14:textId="77777777" w:rsidR="004A68B6" w:rsidRPr="008C0F72" w:rsidRDefault="004A68B6" w:rsidP="008C0F72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C0F7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LOQs/(ng/g)</w:t>
            </w:r>
          </w:p>
        </w:tc>
      </w:tr>
      <w:tr w:rsidR="004A68B6" w:rsidRPr="00C24300" w14:paraId="5A89E746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90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AD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183→99.1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86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24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C8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9B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591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59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23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78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830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E7A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CA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1.30</w:t>
            </w:r>
          </w:p>
        </w:tc>
      </w:tr>
      <w:tr w:rsidR="004A68B6" w:rsidRPr="00C24300" w14:paraId="21A0D4BB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96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TCEP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67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284.9→63.1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1B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TCEP-D12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21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1F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F3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70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6A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0C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67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58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FF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51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1.20</w:t>
            </w:r>
          </w:p>
        </w:tc>
      </w:tr>
      <w:tr w:rsidR="004A68B6" w:rsidRPr="00C24300" w14:paraId="6ECF8153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07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CF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225.1→99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1D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TPP-D21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69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E6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3B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B0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00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B3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16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CBD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8B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162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0.67</w:t>
            </w:r>
          </w:p>
        </w:tc>
      </w:tr>
      <w:tr w:rsidR="004A68B6" w:rsidRPr="00C24300" w14:paraId="5CFBD82A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EF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TCIPPs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6A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327.1→99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D2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TCIPP-D18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95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C5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F9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B7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89A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07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CA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C7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BC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50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1.70</w:t>
            </w:r>
          </w:p>
        </w:tc>
      </w:tr>
      <w:tr w:rsidR="004A68B6" w:rsidRPr="00C24300" w14:paraId="6F39E961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AF4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V6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A5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582.8→360.8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DDE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TCIPP-D18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65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DC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39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4F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F8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6A6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82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76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35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59A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2.30</w:t>
            </w:r>
          </w:p>
        </w:tc>
      </w:tr>
      <w:tr w:rsidR="004A68B6" w:rsidRPr="00C24300" w14:paraId="5D1CB590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14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TDCIPP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92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431→99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8D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TDCIPP-D15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0D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D9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78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B6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7A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1C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0D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D9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9E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60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2.00</w:t>
            </w:r>
          </w:p>
        </w:tc>
      </w:tr>
      <w:tr w:rsidR="004A68B6" w:rsidRPr="00C24300" w14:paraId="5ABC052A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68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47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327.1→77.1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B6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EB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98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34D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37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BF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7C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73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DA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19E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5C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1.30</w:t>
            </w:r>
          </w:p>
        </w:tc>
      </w:tr>
      <w:tr w:rsidR="004A68B6" w:rsidRPr="00C24300" w14:paraId="1911CD6D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13D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CDPP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B6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341.1→152.1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722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27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F7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83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355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1D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03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C4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71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7C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A0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1.70</w:t>
            </w:r>
          </w:p>
        </w:tc>
      </w:tr>
      <w:tr w:rsidR="004A68B6" w:rsidRPr="00C24300" w14:paraId="55D7AABB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D7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53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267.1→99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8C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TNBP-D27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82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E4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C5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4A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FD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46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60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DB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51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C3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0.33</w:t>
            </w:r>
          </w:p>
        </w:tc>
      </w:tr>
      <w:tr w:rsidR="004A68B6" w:rsidRPr="00C24300" w14:paraId="0E9938AF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3B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TIBP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73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267.1→99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07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TNBP-D27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9D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AD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6E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88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7C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C0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59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3F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F5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6C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0.67</w:t>
            </w:r>
          </w:p>
        </w:tc>
      </w:tr>
      <w:tr w:rsidR="004A68B6" w:rsidRPr="00C24300" w14:paraId="3391820C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16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RDP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BB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574.9→419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87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TNBP-D27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2E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03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FA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EF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13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D8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0B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AD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4A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5D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2.70</w:t>
            </w:r>
          </w:p>
        </w:tc>
      </w:tr>
      <w:tr w:rsidR="004A68B6" w:rsidRPr="00C24300" w14:paraId="00C71021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12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TBOEP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103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399.1→199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7F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TNBP-D27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BB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50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8A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1C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DD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00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1F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C9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45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BE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1.70</w:t>
            </w:r>
          </w:p>
        </w:tc>
      </w:tr>
      <w:tr w:rsidR="004A68B6" w:rsidRPr="00C24300" w14:paraId="466905D8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6FF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TMPPs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15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369.1→166.1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7BE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C1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8F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36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CBC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C4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DCF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C2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ED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01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72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0.83</w:t>
            </w:r>
          </w:p>
        </w:tc>
      </w:tr>
      <w:tr w:rsidR="004A68B6" w:rsidRPr="00C24300" w14:paraId="4B984344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0E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BPDP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BD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383→326.8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B2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B6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7D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19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FA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A8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DC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30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88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853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AB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1.00</w:t>
            </w:r>
          </w:p>
        </w:tc>
      </w:tr>
      <w:tr w:rsidR="004A68B6" w:rsidRPr="00C24300" w14:paraId="3515C2AA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0C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EHDPP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47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363.2→251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F1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94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47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99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D47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519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AD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0C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3C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04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04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1.00</w:t>
            </w:r>
          </w:p>
        </w:tc>
      </w:tr>
      <w:tr w:rsidR="004A68B6" w:rsidRPr="00C24300" w14:paraId="52AD58A5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74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BDP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31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692.9→367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03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768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C9D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38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F3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46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2A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872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51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6D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C6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0.87</w:t>
            </w:r>
          </w:p>
        </w:tc>
      </w:tr>
      <w:tr w:rsidR="004A68B6" w:rsidRPr="00C24300" w14:paraId="34130850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67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IDDP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56D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391→250.9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B45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TPHP-D15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38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2B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CE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49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C89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AB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C0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59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22F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1E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2.00</w:t>
            </w:r>
          </w:p>
        </w:tc>
      </w:tr>
      <w:tr w:rsidR="004A68B6" w:rsidRPr="00C24300" w14:paraId="66B8ADDD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A9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TBPHP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8A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495→327.1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2E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TNBP-D27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729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D4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136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2F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158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83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126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45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F98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2B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2.70</w:t>
            </w:r>
          </w:p>
        </w:tc>
      </w:tr>
      <w:tr w:rsidR="004A68B6" w:rsidRPr="00C24300" w14:paraId="1557D0E5" w14:textId="77777777" w:rsidTr="00CA629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E0DC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F2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435.4→99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C0A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TEHP-D51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BC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55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1FB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4C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EE3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B3E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CE1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82F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1C0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F1F4" w14:textId="77777777" w:rsidR="004A68B6" w:rsidRPr="00C24300" w:rsidRDefault="004A68B6" w:rsidP="008C0F72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24300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0.80</w:t>
            </w:r>
          </w:p>
        </w:tc>
      </w:tr>
    </w:tbl>
    <w:p w14:paraId="1618D095" w14:textId="77777777" w:rsidR="004A68B6" w:rsidRDefault="004A68B6" w:rsidP="004A68B6">
      <w:pPr>
        <w:jc w:val="both"/>
        <w:rPr>
          <w:rFonts w:cs="Times New Roman"/>
        </w:rPr>
      </w:pPr>
    </w:p>
    <w:p w14:paraId="64F59DF5" w14:textId="3DB9A5C2" w:rsidR="004A68B6" w:rsidRPr="008C0F72" w:rsidRDefault="004A68B6" w:rsidP="004A68B6">
      <w:pPr>
        <w:jc w:val="both"/>
        <w:rPr>
          <w:rFonts w:cs="Times New Roman"/>
          <w:sz w:val="18"/>
          <w:szCs w:val="18"/>
        </w:rPr>
      </w:pPr>
      <w:r w:rsidRPr="008C0F72">
        <w:rPr>
          <w:rFonts w:cs="Times New Roman"/>
          <w:sz w:val="18"/>
          <w:szCs w:val="18"/>
        </w:rPr>
        <w:t>QT: quantitative transition; IS/SIS: internal standard/surrogate internal standard; DP: declustering potential; EP: entrance potential; CE: collision energy; CXP: collision cell exit potential; linearity: linearity of calibration curve; RB: reagent blank; recovery: recovery of target compounds spiked before extraction; ME: matrix effect; LOD: limit of detection; LOQ: limit of quantification.</w:t>
      </w:r>
    </w:p>
    <w:p w14:paraId="0CC837F6" w14:textId="1D2476E6" w:rsidR="00D00B93" w:rsidRDefault="00D00B93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i/>
          <w:iCs/>
        </w:rPr>
        <w:br w:type="page"/>
      </w:r>
    </w:p>
    <w:p w14:paraId="3DA4FE19" w14:textId="44059D68" w:rsidR="00142955" w:rsidRDefault="00142955" w:rsidP="00142955">
      <w:pPr>
        <w:pStyle w:val="Caption"/>
      </w:pPr>
      <w:r>
        <w:rPr>
          <w:b/>
          <w:bCs/>
          <w:i w:val="0"/>
          <w:iCs w:val="0"/>
        </w:rPr>
        <w:lastRenderedPageBreak/>
        <w:t xml:space="preserve">Table </w:t>
      </w:r>
      <w:r w:rsidR="006A69F1">
        <w:rPr>
          <w:b/>
          <w:bCs/>
          <w:i w:val="0"/>
          <w:iCs w:val="0"/>
        </w:rPr>
        <w:t>S4</w:t>
      </w:r>
      <w:r>
        <w:t xml:space="preserve">. </w:t>
      </w:r>
      <w:r w:rsidRPr="004D536F">
        <w:rPr>
          <w:i w:val="0"/>
          <w:iCs w:val="0"/>
        </w:rPr>
        <w:t>Summary of concentrations (ng/g) of chemicals in indoor dust samples (n=47) overall and by</w:t>
      </w:r>
      <w:r>
        <w:rPr>
          <w:i w:val="0"/>
          <w:iCs w:val="0"/>
        </w:rPr>
        <w:t xml:space="preserve"> </w:t>
      </w:r>
      <w:r w:rsidRPr="004D536F">
        <w:rPr>
          <w:i w:val="0"/>
          <w:iCs w:val="0"/>
        </w:rPr>
        <w:t>healthier materials intervention status: none (n=12), partial (n=28), and full (n=7).</w:t>
      </w:r>
    </w:p>
    <w:p w14:paraId="7DB4E536" w14:textId="1FD1D038" w:rsidR="00142955" w:rsidRDefault="00D00B93" w:rsidP="00142955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494E0A" wp14:editId="3053AD90">
            <wp:simplePos x="0" y="0"/>
            <wp:positionH relativeFrom="column">
              <wp:posOffset>-15701</wp:posOffset>
            </wp:positionH>
            <wp:positionV relativeFrom="paragraph">
              <wp:posOffset>53744</wp:posOffset>
            </wp:positionV>
            <wp:extent cx="8046720" cy="5488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 chemical concentrations by intervention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9E08F" w14:textId="26748117" w:rsidR="00142955" w:rsidRPr="00A454F5" w:rsidRDefault="00142955" w:rsidP="00142955">
      <w:pPr>
        <w:rPr>
          <w:sz w:val="18"/>
          <w:szCs w:val="18"/>
        </w:rPr>
      </w:pPr>
      <w:r>
        <w:br w:type="page"/>
      </w:r>
      <w:bookmarkStart w:id="0" w:name="_Toc40280400"/>
      <w:bookmarkStart w:id="1" w:name="_Ref39270824"/>
      <w:r>
        <w:rPr>
          <w:b/>
          <w:bCs/>
          <w:sz w:val="18"/>
          <w:szCs w:val="18"/>
        </w:rPr>
        <w:lastRenderedPageBreak/>
        <w:t>Table S</w:t>
      </w:r>
      <w:r w:rsidR="006A69F1">
        <w:rPr>
          <w:b/>
          <w:bCs/>
          <w:sz w:val="18"/>
          <w:szCs w:val="18"/>
        </w:rPr>
        <w:t>5</w:t>
      </w:r>
      <w:r w:rsidRPr="00E61F59">
        <w:rPr>
          <w:i/>
          <w:iCs/>
          <w:sz w:val="18"/>
          <w:szCs w:val="18"/>
        </w:rPr>
        <w:t>.</w:t>
      </w:r>
      <w:r w:rsidRPr="00A454F5">
        <w:rPr>
          <w:sz w:val="18"/>
          <w:szCs w:val="18"/>
        </w:rPr>
        <w:t xml:space="preserve"> Summary of concentrations (ng/g) of chemicals in indoor dust samples (n=47) by room type.</w:t>
      </w:r>
      <w:bookmarkEnd w:id="0"/>
    </w:p>
    <w:p w14:paraId="6CF979AC" w14:textId="7D08B9D8" w:rsidR="00142955" w:rsidRDefault="00142955" w:rsidP="00142955"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31D8AF" wp14:editId="4862B9D1">
            <wp:simplePos x="0" y="0"/>
            <wp:positionH relativeFrom="column">
              <wp:posOffset>-6465</wp:posOffset>
            </wp:positionH>
            <wp:positionV relativeFrom="paragraph">
              <wp:posOffset>114589</wp:posOffset>
            </wp:positionV>
            <wp:extent cx="8085455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 S1 summary by room typ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4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br w:type="page"/>
      </w:r>
    </w:p>
    <w:p w14:paraId="3A662BDD" w14:textId="6C2BD09A" w:rsidR="00DD6D96" w:rsidRDefault="00DD6D96">
      <w:pPr>
        <w:rPr>
          <w:sz w:val="18"/>
          <w:szCs w:val="18"/>
        </w:rPr>
      </w:pPr>
      <w:bookmarkStart w:id="2" w:name="_Ref39270690"/>
      <w:r w:rsidRPr="00DD6D96">
        <w:rPr>
          <w:b/>
          <w:bCs/>
          <w:sz w:val="18"/>
          <w:szCs w:val="18"/>
        </w:rPr>
        <w:lastRenderedPageBreak/>
        <w:t>Table S</w:t>
      </w:r>
      <w:r w:rsidR="006A69F1">
        <w:rPr>
          <w:b/>
          <w:bCs/>
          <w:sz w:val="18"/>
          <w:szCs w:val="18"/>
        </w:rPr>
        <w:t>6</w:t>
      </w:r>
      <w:r w:rsidRPr="00DD6D96">
        <w:rPr>
          <w:sz w:val="18"/>
          <w:szCs w:val="18"/>
        </w:rPr>
        <w:t xml:space="preserve">. </w:t>
      </w:r>
      <w:r w:rsidRPr="00E55073">
        <w:rPr>
          <w:sz w:val="18"/>
          <w:szCs w:val="18"/>
        </w:rPr>
        <w:t>Summary of concentrations (µg/g) of bromine and phosphorus in different product types in the 47 studied spaces, as measured using portable x-ray fluorescence (XRF).</w:t>
      </w:r>
    </w:p>
    <w:p w14:paraId="40576900" w14:textId="77777777" w:rsidR="00DD6D96" w:rsidRDefault="00DD6D96">
      <w:pPr>
        <w:rPr>
          <w:sz w:val="18"/>
          <w:szCs w:val="18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99"/>
        <w:gridCol w:w="299"/>
        <w:gridCol w:w="3484"/>
        <w:gridCol w:w="481"/>
        <w:gridCol w:w="1870"/>
        <w:gridCol w:w="338"/>
        <w:gridCol w:w="481"/>
        <w:gridCol w:w="2098"/>
      </w:tblGrid>
      <w:tr w:rsidR="00DD6D96" w:rsidRPr="001A39F9" w14:paraId="747558FA" w14:textId="77777777" w:rsidTr="00CA6297">
        <w:trPr>
          <w:trHeight w:val="2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71F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3" w:name="RANGE!B4:L47"/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bookmarkEnd w:id="3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84C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526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7EEF7" w14:textId="77777777" w:rsidR="00DD6D96" w:rsidRPr="006243EB" w:rsidRDefault="00DD6D96" w:rsidP="00CA62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Bromine (µg/g)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639B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FE1D" w14:textId="77777777" w:rsidR="00DD6D96" w:rsidRPr="006243EB" w:rsidRDefault="00DD6D96" w:rsidP="00CA629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Phosphorus (µg/g)</w:t>
            </w:r>
          </w:p>
        </w:tc>
      </w:tr>
      <w:tr w:rsidR="00DD6D96" w:rsidRPr="001A39F9" w14:paraId="2576E969" w14:textId="77777777" w:rsidTr="00CA6297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2BC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023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063" w14:textId="77777777" w:rsidR="00DD6D96" w:rsidRPr="006243EB" w:rsidRDefault="00DD6D96" w:rsidP="00CA629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1F5B" w14:textId="77777777" w:rsidR="00DD6D96" w:rsidRPr="006243EB" w:rsidRDefault="00DD6D96" w:rsidP="00CA629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XRF in product mode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449" w14:textId="77777777" w:rsidR="00DD6D96" w:rsidRPr="006243EB" w:rsidRDefault="00DD6D96" w:rsidP="00CA629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2046" w14:textId="77777777" w:rsidR="00DD6D96" w:rsidRPr="006243EB" w:rsidRDefault="00DD6D96" w:rsidP="00CA629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XRF in geo mode</w:t>
            </w:r>
          </w:p>
        </w:tc>
      </w:tr>
      <w:tr w:rsidR="00DD6D96" w:rsidRPr="001A39F9" w14:paraId="142CCA4B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1BA9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Product Type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1D47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0270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Median [Range]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4DC4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3232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168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Median [Range]</w:t>
            </w:r>
          </w:p>
        </w:tc>
      </w:tr>
      <w:tr w:rsidR="00DD6D96" w:rsidRPr="001A39F9" w14:paraId="6F3FF28D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C97EC97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Window shades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5C3AE4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4C1519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1.85 [ND, 94630]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D21282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F1CE86E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0AE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471.5 [ND, 49720]</w:t>
            </w:r>
          </w:p>
        </w:tc>
      </w:tr>
      <w:tr w:rsidR="00DD6D96" w:rsidRPr="001A39F9" w14:paraId="248B20DF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49086F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Fabric walls or dividers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D52B85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3F352B4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2.75 [ND, 61]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B89583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4C9F6E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475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431.2 [ND, 14530]</w:t>
            </w:r>
          </w:p>
        </w:tc>
      </w:tr>
      <w:tr w:rsidR="00DD6D96" w:rsidRPr="001A39F9" w14:paraId="4E8131DB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78C1F0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Wall paint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BB4CD23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2E6CFE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5.75 [ND, 263]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A18055E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92D0BA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76E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895 [ND, 1436]</w:t>
            </w:r>
          </w:p>
        </w:tc>
      </w:tr>
      <w:tr w:rsidR="00DD6D96" w:rsidRPr="001A39F9" w14:paraId="55B117FB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626F8E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Ceiling tile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45E81FC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8AD93DC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6.2 [ND, 49.9]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0E4DAA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C65E6E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C7A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17400]</w:t>
            </w:r>
          </w:p>
        </w:tc>
      </w:tr>
      <w:tr w:rsidR="00DD6D96" w:rsidRPr="001A39F9" w14:paraId="6A17AC87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F1D2DA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Wall base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32A06E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416E63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13.2]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73477F2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EA70A7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C87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3884]</w:t>
            </w:r>
          </w:p>
        </w:tc>
      </w:tr>
      <w:tr w:rsidR="00DD6D96" w:rsidRPr="001A39F9" w14:paraId="2B795EC6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42B00E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Plastic tables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E68C9F8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5193AD7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6.9]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F2F472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A985E95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133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550.8 [ND, 4777]</w:t>
            </w:r>
          </w:p>
        </w:tc>
      </w:tr>
      <w:tr w:rsidR="00DD6D96" w:rsidRPr="001A39F9" w14:paraId="07015134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35A553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Plastic chairs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714415D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1C48F4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1.6 [ND, 30330]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278D03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75973CD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C6F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169.4 [ND, 3469]</w:t>
            </w:r>
          </w:p>
        </w:tc>
      </w:tr>
      <w:tr w:rsidR="00DD6D96" w:rsidRPr="001A39F9" w14:paraId="269328BB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894F82E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Plastic flooring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01D0B4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EB07AFB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14.6]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36AD71D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4CB249D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3E6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192.2 [ND, 20840]</w:t>
            </w:r>
          </w:p>
        </w:tc>
      </w:tr>
      <w:tr w:rsidR="00DD6D96" w:rsidRPr="001A39F9" w14:paraId="2E765A16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8E503E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Wood flooring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CA95136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69D53AB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ND [ND, 3.1]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9F92CD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0CF877C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EB0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229.9 [ND, 1282]</w:t>
            </w:r>
          </w:p>
        </w:tc>
      </w:tr>
      <w:tr w:rsidR="00DD6D96" w:rsidRPr="001A39F9" w14:paraId="365B0B0E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D6ABC4C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White boards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2C67794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E6414C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2.8 [ND, 8.7]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663B834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9E9A8D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035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22130 [ND, 213800]</w:t>
            </w:r>
          </w:p>
        </w:tc>
      </w:tr>
      <w:tr w:rsidR="00DD6D96" w:rsidRPr="001A39F9" w14:paraId="3AEE0F25" w14:textId="77777777" w:rsidTr="00CA6297">
        <w:trPr>
          <w:trHeight w:val="240"/>
        </w:trPr>
        <w:tc>
          <w:tcPr>
            <w:tcW w:w="4082" w:type="dxa"/>
            <w:gridSpan w:val="3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3DDD8" w14:textId="77777777" w:rsidR="00DD6D96" w:rsidRPr="006243EB" w:rsidRDefault="00DD6D96" w:rsidP="00CA629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Chalk boards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2856E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9E42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15.2 [13.9, 20.8]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26E3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B54B" w14:textId="77777777" w:rsidR="00DD6D96" w:rsidRPr="006243EB" w:rsidRDefault="00DD6D96" w:rsidP="00CA629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E7D" w14:textId="77777777" w:rsidR="00DD6D96" w:rsidRPr="006243EB" w:rsidRDefault="00DD6D96" w:rsidP="00CA629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43EB">
              <w:rPr>
                <w:rFonts w:eastAsia="Times New Roman" w:cs="Times New Roman"/>
                <w:color w:val="000000"/>
                <w:sz w:val="16"/>
                <w:szCs w:val="16"/>
              </w:rPr>
              <w:t>98850 [91760, 108700]</w:t>
            </w:r>
          </w:p>
        </w:tc>
      </w:tr>
    </w:tbl>
    <w:p w14:paraId="5644F663" w14:textId="77777777" w:rsidR="00DD6D96" w:rsidRDefault="00DD6D96" w:rsidP="00DD6D96">
      <w:pPr>
        <w:rPr>
          <w:sz w:val="18"/>
          <w:szCs w:val="18"/>
        </w:rPr>
      </w:pPr>
      <w:r>
        <w:rPr>
          <w:sz w:val="18"/>
          <w:szCs w:val="18"/>
        </w:rPr>
        <w:t>ND = not detected</w:t>
      </w:r>
    </w:p>
    <w:p w14:paraId="556866C7" w14:textId="21943D8E" w:rsidR="00DD6D96" w:rsidRDefault="00DD6D96" w:rsidP="00DD6D96">
      <w:pPr>
        <w:rPr>
          <w:i/>
          <w:iCs/>
          <w:color w:val="000000" w:themeColor="text1"/>
          <w:sz w:val="18"/>
          <w:szCs w:val="18"/>
        </w:rPr>
      </w:pPr>
      <w:r>
        <w:br w:type="page"/>
      </w:r>
    </w:p>
    <w:p w14:paraId="7F1B740D" w14:textId="77777777" w:rsidR="00463BBA" w:rsidRDefault="00463BBA">
      <w:pPr>
        <w:sectPr w:rsidR="00463BBA" w:rsidSect="008C0F7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D053BE6" w14:textId="77777777" w:rsidR="00463BBA" w:rsidRPr="002C6012" w:rsidRDefault="00463BBA" w:rsidP="00463BBA">
      <w:pPr>
        <w:jc w:val="center"/>
        <w:rPr>
          <w:rFonts w:cs="Times New Roman"/>
          <w:sz w:val="18"/>
          <w:szCs w:val="18"/>
        </w:rPr>
      </w:pPr>
      <w:r w:rsidRPr="002C6012">
        <w:rPr>
          <w:rFonts w:cs="Times New Roman"/>
          <w:noProof/>
          <w:sz w:val="18"/>
          <w:szCs w:val="18"/>
        </w:rPr>
        <w:lastRenderedPageBreak/>
        <w:drawing>
          <wp:inline distT="0" distB="0" distL="0" distR="0" wp14:anchorId="4B25526B" wp14:editId="71D7B7CC">
            <wp:extent cx="7815072" cy="2932176"/>
            <wp:effectExtent l="0" t="0" r="0" b="1905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072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A160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3756A9E8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  <w:r w:rsidRPr="002C6012">
        <w:rPr>
          <w:rFonts w:cs="Times New Roman"/>
          <w:b/>
          <w:bCs/>
          <w:sz w:val="18"/>
          <w:szCs w:val="18"/>
        </w:rPr>
        <w:t>Figure S</w:t>
      </w:r>
      <w:r>
        <w:rPr>
          <w:rFonts w:cs="Times New Roman"/>
          <w:b/>
          <w:bCs/>
          <w:sz w:val="18"/>
          <w:szCs w:val="18"/>
        </w:rPr>
        <w:t>1</w:t>
      </w:r>
      <w:r w:rsidRPr="002C6012">
        <w:rPr>
          <w:rFonts w:cs="Times New Roman"/>
          <w:b/>
          <w:bCs/>
          <w:sz w:val="18"/>
          <w:szCs w:val="18"/>
        </w:rPr>
        <w:t>.</w:t>
      </w:r>
      <w:r w:rsidRPr="002C6012">
        <w:rPr>
          <w:rFonts w:cs="Times New Roman"/>
          <w:sz w:val="18"/>
          <w:szCs w:val="18"/>
        </w:rPr>
        <w:t xml:space="preserve"> Chromatograms of 15 per- and polyfluoroalkyl substances (PFASs) in standard solution (A) and a real dust sample (B) with notable concentrations of C4-9 PFCAs.</w:t>
      </w:r>
    </w:p>
    <w:p w14:paraId="12C0EE71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0E8831A1" w14:textId="77777777" w:rsidR="00463BBA" w:rsidRPr="002C6012" w:rsidRDefault="00463BBA" w:rsidP="00463BBA">
      <w:pPr>
        <w:jc w:val="center"/>
        <w:rPr>
          <w:rFonts w:cs="Times New Roman"/>
          <w:sz w:val="18"/>
          <w:szCs w:val="18"/>
        </w:rPr>
      </w:pPr>
      <w:r w:rsidRPr="002C6012">
        <w:rPr>
          <w:rFonts w:cs="Times New Roman"/>
          <w:noProof/>
          <w:sz w:val="18"/>
          <w:szCs w:val="18"/>
        </w:rPr>
        <w:lastRenderedPageBreak/>
        <w:drawing>
          <wp:inline distT="0" distB="0" distL="0" distR="0" wp14:anchorId="7BB300A5" wp14:editId="1D2CBDBE">
            <wp:extent cx="7833360" cy="2743200"/>
            <wp:effectExtent l="0" t="0" r="0" b="0"/>
            <wp:docPr id="1" name="Picture 1" descr="A traffic light sitting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raffic light sitting in the dar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B965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  <w:r w:rsidRPr="002C6012">
        <w:rPr>
          <w:rFonts w:cs="Times New Roman"/>
          <w:b/>
          <w:bCs/>
          <w:sz w:val="18"/>
          <w:szCs w:val="18"/>
        </w:rPr>
        <w:t>Figure S2.</w:t>
      </w:r>
      <w:r w:rsidRPr="002C6012">
        <w:rPr>
          <w:rFonts w:cs="Times New Roman"/>
          <w:sz w:val="18"/>
          <w:szCs w:val="18"/>
        </w:rPr>
        <w:t xml:space="preserve"> Chromatograms of 8 polybrominated diphenyl ethers (PBDEs) in standard solution (A) and a real dust sample (B) with notable concentrations of BDE-47, -99, and -209.</w:t>
      </w:r>
    </w:p>
    <w:p w14:paraId="76A90B3D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4E21222A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68287A99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73F43B83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7B9BFB0F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29FB7300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2E7786EA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3A7F9686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</w:p>
    <w:p w14:paraId="4BBE7283" w14:textId="77777777" w:rsidR="00463BBA" w:rsidRPr="002C6012" w:rsidRDefault="00463BBA" w:rsidP="00463BBA">
      <w:pPr>
        <w:rPr>
          <w:rFonts w:cs="Times New Roman"/>
          <w:sz w:val="18"/>
          <w:szCs w:val="18"/>
        </w:rPr>
      </w:pPr>
      <w:r w:rsidRPr="002C6012">
        <w:rPr>
          <w:rFonts w:cs="Times New Roman"/>
          <w:noProof/>
          <w:sz w:val="18"/>
          <w:szCs w:val="18"/>
        </w:rPr>
        <w:lastRenderedPageBreak/>
        <w:drawing>
          <wp:inline distT="0" distB="0" distL="0" distR="0" wp14:anchorId="5877E8FB" wp14:editId="0B31BF8D">
            <wp:extent cx="8229600" cy="3008630"/>
            <wp:effectExtent l="0" t="0" r="0" b="127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F1A4" w14:textId="77777777" w:rsidR="00463BBA" w:rsidRPr="002C6012" w:rsidRDefault="00463BBA" w:rsidP="00463BBA">
      <w:pPr>
        <w:tabs>
          <w:tab w:val="left" w:pos="4821"/>
        </w:tabs>
        <w:rPr>
          <w:rFonts w:cs="Times New Roman"/>
          <w:sz w:val="18"/>
          <w:szCs w:val="18"/>
        </w:rPr>
      </w:pPr>
    </w:p>
    <w:p w14:paraId="6AB2098D" w14:textId="77777777" w:rsidR="00463BBA" w:rsidRPr="002C6012" w:rsidRDefault="00463BBA" w:rsidP="00463BBA">
      <w:pPr>
        <w:tabs>
          <w:tab w:val="left" w:pos="4821"/>
        </w:tabs>
        <w:rPr>
          <w:rFonts w:cs="Times New Roman"/>
          <w:sz w:val="18"/>
          <w:szCs w:val="18"/>
        </w:rPr>
      </w:pPr>
      <w:r w:rsidRPr="002C6012">
        <w:rPr>
          <w:rFonts w:cs="Times New Roman"/>
          <w:b/>
          <w:bCs/>
          <w:sz w:val="18"/>
          <w:szCs w:val="18"/>
        </w:rPr>
        <w:t>Figure S3.</w:t>
      </w:r>
      <w:r w:rsidRPr="002C6012">
        <w:rPr>
          <w:rFonts w:cs="Times New Roman"/>
          <w:sz w:val="18"/>
          <w:szCs w:val="18"/>
        </w:rPr>
        <w:t xml:space="preserve"> Chromatograms of 19 organophosphate esters (OPEs) in standard solution (A) and a real dust sample (B) with notable concentrations of TCEP, TCIPP, TPHP, CDPP, and TBOEP.</w:t>
      </w:r>
    </w:p>
    <w:p w14:paraId="26B7C500" w14:textId="75D81E9D" w:rsidR="00463BBA" w:rsidRDefault="00463BBA">
      <w:pPr>
        <w:rPr>
          <w:i/>
          <w:iCs/>
          <w:color w:val="000000" w:themeColor="text1"/>
          <w:sz w:val="18"/>
          <w:szCs w:val="18"/>
        </w:rPr>
      </w:pPr>
      <w:r>
        <w:br w:type="page"/>
      </w:r>
    </w:p>
    <w:p w14:paraId="4693BEA3" w14:textId="77777777" w:rsidR="00463BBA" w:rsidRDefault="00463BBA" w:rsidP="00142955">
      <w:pPr>
        <w:pStyle w:val="Caption"/>
        <w:sectPr w:rsidR="00463BBA" w:rsidSect="00463B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BDB16C" w14:textId="5B402336" w:rsidR="00142955" w:rsidRDefault="00142955" w:rsidP="00142955">
      <w:pPr>
        <w:pStyle w:val="Caption"/>
      </w:pPr>
      <w:r>
        <w:rPr>
          <w:noProof/>
        </w:rPr>
        <w:lastRenderedPageBreak/>
        <w:drawing>
          <wp:inline distT="0" distB="0" distL="0" distR="0" wp14:anchorId="3EE38B4D" wp14:editId="3A63CF55">
            <wp:extent cx="3566161" cy="307238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A of PBDE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1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527A" w14:textId="4FF9ECA2" w:rsidR="00142955" w:rsidRDefault="00142955" w:rsidP="00142955">
      <w:pPr>
        <w:pStyle w:val="Caption"/>
      </w:pPr>
      <w:bookmarkStart w:id="4" w:name="_Toc40283441"/>
      <w:bookmarkEnd w:id="2"/>
      <w:r>
        <w:rPr>
          <w:b/>
          <w:bCs/>
          <w:i w:val="0"/>
          <w:iCs w:val="0"/>
        </w:rPr>
        <w:t>Figure S</w:t>
      </w:r>
      <w:r w:rsidR="003B3305">
        <w:rPr>
          <w:b/>
          <w:bCs/>
          <w:i w:val="0"/>
          <w:iCs w:val="0"/>
        </w:rPr>
        <w:t>4</w:t>
      </w:r>
      <w:r>
        <w:rPr>
          <w:b/>
          <w:bCs/>
          <w:i w:val="0"/>
          <w:iCs w:val="0"/>
        </w:rPr>
        <w:t xml:space="preserve">. </w:t>
      </w:r>
      <w:r w:rsidRPr="00235B29">
        <w:rPr>
          <w:i w:val="0"/>
          <w:iCs w:val="0"/>
        </w:rPr>
        <w:t>Results of principal component analysis of polybrominated diphenyl ether (PBDE) concentrations in indoor dust samples (n=47).</w:t>
      </w:r>
      <w:bookmarkEnd w:id="4"/>
    </w:p>
    <w:p w14:paraId="65CE935C" w14:textId="5B41B4F1" w:rsidR="00B04C70" w:rsidRPr="00142955" w:rsidRDefault="008C0F72">
      <w:pPr>
        <w:rPr>
          <w:i/>
          <w:iCs/>
          <w:color w:val="000000" w:themeColor="text1"/>
          <w:sz w:val="18"/>
          <w:szCs w:val="18"/>
        </w:rPr>
      </w:pPr>
    </w:p>
    <w:sectPr w:rsidR="00B04C70" w:rsidRPr="00142955" w:rsidSect="008C0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093"/>
    <w:multiLevelType w:val="multilevel"/>
    <w:tmpl w:val="BC328464"/>
    <w:styleLink w:val="chapternum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8091F08"/>
    <w:multiLevelType w:val="multilevel"/>
    <w:tmpl w:val="BC328464"/>
    <w:numStyleLink w:val="chapternum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5"/>
    <w:rsid w:val="00062BA0"/>
    <w:rsid w:val="000C5697"/>
    <w:rsid w:val="00142955"/>
    <w:rsid w:val="001A7894"/>
    <w:rsid w:val="00356BB2"/>
    <w:rsid w:val="003B3305"/>
    <w:rsid w:val="00463BBA"/>
    <w:rsid w:val="004A68B6"/>
    <w:rsid w:val="005F1F5D"/>
    <w:rsid w:val="006208F6"/>
    <w:rsid w:val="006A69F1"/>
    <w:rsid w:val="00870D05"/>
    <w:rsid w:val="008C0F72"/>
    <w:rsid w:val="00914430"/>
    <w:rsid w:val="009B6EC8"/>
    <w:rsid w:val="00A25387"/>
    <w:rsid w:val="00A53C3F"/>
    <w:rsid w:val="00A658DA"/>
    <w:rsid w:val="00D00B93"/>
    <w:rsid w:val="00DD6D96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7AE"/>
  <w15:chartTrackingRefBased/>
  <w15:docId w15:val="{52C6B488-FCCC-CB4D-B99B-622D568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5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894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894"/>
    <w:pPr>
      <w:numPr>
        <w:ilvl w:val="1"/>
        <w:numId w:val="2"/>
      </w:numPr>
      <w:spacing w:line="480" w:lineRule="auto"/>
      <w:outlineLvl w:val="1"/>
    </w:pPr>
    <w:rPr>
      <w:rFonts w:cs="Times New Roman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894"/>
    <w:pPr>
      <w:numPr>
        <w:ilvl w:val="2"/>
        <w:numId w:val="2"/>
      </w:numPr>
      <w:spacing w:line="480" w:lineRule="auto"/>
      <w:outlineLvl w:val="2"/>
    </w:pPr>
    <w:rPr>
      <w:rFonts w:cs="Times New Roman"/>
      <w:b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78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8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8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8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8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8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2955"/>
    <w:pPr>
      <w:spacing w:after="200"/>
    </w:pPr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7894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894"/>
    <w:rPr>
      <w:rFonts w:ascii="Times New Roman" w:hAnsi="Times New Roman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7894"/>
    <w:rPr>
      <w:rFonts w:ascii="Times New Roman" w:hAnsi="Times New Roman" w:cs="Times New Roman"/>
      <w:b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A78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8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8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8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8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hapternum">
    <w:name w:val="chapter num"/>
    <w:uiPriority w:val="99"/>
    <w:rsid w:val="001A78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D9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tif"/><Relationship Id="rId4" Type="http://schemas.openxmlformats.org/officeDocument/2006/relationships/settings" Target="setting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98E0F5-5AB9-8846-B4CA-56B05390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Anna</dc:creator>
  <cp:keywords/>
  <dc:description/>
  <cp:lastModifiedBy>Young, Anna</cp:lastModifiedBy>
  <cp:revision>19</cp:revision>
  <dcterms:created xsi:type="dcterms:W3CDTF">2020-05-29T21:59:00Z</dcterms:created>
  <dcterms:modified xsi:type="dcterms:W3CDTF">2020-10-01T19:13:00Z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http://www.zotero.org/styles/environmental-health-perspectives</vt:lpwstr>
  </property>
  <property fmtid="{D5CDD505-2E9C-101B-9397-08002B2CF9AE}" pid="7" name="Mendeley Recent Style Name 2_1">
    <vt:lpwstr>Environmental Health Perspectives</vt:lpwstr>
  </property>
  <property fmtid="{D5CDD505-2E9C-101B-9397-08002B2CF9AE}" pid="8" name="Mendeley Recent Style Id 3_1">
    <vt:lpwstr>http://www.zotero.org/styles/nature</vt:lpwstr>
  </property>
  <property fmtid="{D5CDD505-2E9C-101B-9397-08002B2CF9AE}" pid="9" name="Mendeley Recent Style Name 3_1">
    <vt:lpwstr>Nature</vt:lpwstr>
  </property>
  <property fmtid="{D5CDD505-2E9C-101B-9397-08002B2CF9AE}" pid="10" name="Mendeley Recent Style Id 4_1">
    <vt:lpwstr>http://csl.mendeley.com/styles/510459361/NIEHSgrant</vt:lpwstr>
  </property>
  <property fmtid="{D5CDD505-2E9C-101B-9397-08002B2CF9AE}" pid="11" name="Mendeley Recent Style Name 4_1">
    <vt:lpwstr>Nature - A Y</vt:lpwstr>
  </property>
  <property fmtid="{D5CDD505-2E9C-101B-9397-08002B2CF9AE}" pid="12" name="Mendeley Recent Style Id 5_1">
    <vt:lpwstr>http://csl.mendeley.com/styles/510459361/nature</vt:lpwstr>
  </property>
  <property fmtid="{D5CDD505-2E9C-101B-9397-08002B2CF9AE}" pid="13" name="Mendeley Recent Style Name 5_1">
    <vt:lpwstr>Nature - A Y</vt:lpwstr>
  </property>
  <property fmtid="{D5CDD505-2E9C-101B-9397-08002B2CF9AE}" pid="14" name="Mendeley Recent Style Id 6_1">
    <vt:lpwstr>http://www.zotero.org/styles/science</vt:lpwstr>
  </property>
  <property fmtid="{D5CDD505-2E9C-101B-9397-08002B2CF9AE}" pid="15" name="Mendeley Recent Style Name 6_1">
    <vt:lpwstr>Science</vt:lpwstr>
  </property>
  <property fmtid="{D5CDD505-2E9C-101B-9397-08002B2CF9AE}" pid="16" name="Mendeley Recent Style Id 7_1">
    <vt:lpwstr>http://www.zotero.org/styles/taylor-and-francis-council-of-science-editors-author-date</vt:lpwstr>
  </property>
  <property fmtid="{D5CDD505-2E9C-101B-9397-08002B2CF9AE}" pid="17" name="Mendeley Recent Style Name 7_1">
    <vt:lpwstr>Taylor &amp; Francis - Council of Science Editors (author-date)</vt:lpwstr>
  </property>
  <property fmtid="{D5CDD505-2E9C-101B-9397-08002B2CF9AE}" pid="18" name="Mendeley Recent Style Id 8_1">
    <vt:lpwstr>http://www.zotero.org/styles/journal-of-biological-chemistry</vt:lpwstr>
  </property>
  <property fmtid="{D5CDD505-2E9C-101B-9397-08002B2CF9AE}" pid="19" name="Mendeley Recent Style Name 8_1">
    <vt:lpwstr>The Journal of Biological Chemistry</vt:lpwstr>
  </property>
  <property fmtid="{D5CDD505-2E9C-101B-9397-08002B2CF9AE}" pid="20" name="Mendeley Recent Style Id 9_1">
    <vt:lpwstr>http://csl.mendeley.com/styles/510459361/journal-of-biological-chemistry</vt:lpwstr>
  </property>
  <property fmtid="{D5CDD505-2E9C-101B-9397-08002B2CF9AE}" pid="21" name="Mendeley Recent Style Name 9_1">
    <vt:lpwstr>The Journal of Biological Chemistry - A 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b7c1997b-5cb3-313f-a1a2-6b47d3797f3f</vt:lpwstr>
  </property>
  <property fmtid="{D5CDD505-2E9C-101B-9397-08002B2CF9AE}" pid="24" name="Mendeley Citation Style_1">
    <vt:lpwstr>http://www.zotero.org/styles/environmental-health-perspectives</vt:lpwstr>
  </property>
</Properties>
</file>