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18E3" w14:textId="77777777" w:rsidR="00B17E94" w:rsidRDefault="00B17E94" w:rsidP="00B1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TABLES</w:t>
      </w:r>
    </w:p>
    <w:p w14:paraId="2F3EC2F6" w14:textId="77777777" w:rsidR="00B17E94" w:rsidRDefault="00B17E94" w:rsidP="00B1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A3302" w14:textId="77777777" w:rsidR="00B17E94" w:rsidRDefault="00B17E94" w:rsidP="00B1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B4">
        <w:rPr>
          <w:rFonts w:ascii="Times New Roman" w:hAnsi="Times New Roman" w:cs="Times New Roman"/>
          <w:sz w:val="24"/>
          <w:szCs w:val="24"/>
        </w:rPr>
        <w:t>Supplemental Table 1: Classification of controlled substance stimulant dispensing by brand, product type, and short-acting (IR) or long-acting (LA/ER/SR)</w:t>
      </w:r>
    </w:p>
    <w:p w14:paraId="09138CD3" w14:textId="77777777" w:rsidR="00B17E94" w:rsidRDefault="00B17E94" w:rsidP="00B1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602"/>
        <w:gridCol w:w="2880"/>
        <w:gridCol w:w="2880"/>
      </w:tblGrid>
      <w:tr w:rsidR="00B17E94" w:rsidRPr="002019B4" w14:paraId="364AB4D4" w14:textId="77777777" w:rsidTr="005E113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DDD" w14:textId="77777777" w:rsidR="00B17E94" w:rsidRPr="002019B4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1E81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Molecules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6FED3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LA/ER/SR Molecules</w:t>
            </w:r>
          </w:p>
        </w:tc>
      </w:tr>
      <w:tr w:rsidR="00B17E94" w:rsidRPr="002019B4" w14:paraId="0DB1FEF8" w14:textId="77777777" w:rsidTr="005E113F">
        <w:trPr>
          <w:trHeight w:val="203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7EA20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Methylphenidate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DC7E9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Ritalin,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Methylin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AF9E8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Ritalin SR, Metadate ER,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Methylin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Concerta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Daytrana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Jornay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PM, Metadate CD,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Quillivant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XR,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Qullichew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ER, Ritalin LA,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Cotempla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XR-ODT,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Aptensio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XR,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Adhansia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XR</w:t>
            </w:r>
          </w:p>
        </w:tc>
      </w:tr>
      <w:tr w:rsidR="00B17E94" w:rsidRPr="002019B4" w14:paraId="58C5213F" w14:textId="77777777" w:rsidTr="005E113F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F20BA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Dexmethylphenidate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72EA1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Focalin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48CA9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Focalin XR</w:t>
            </w:r>
          </w:p>
        </w:tc>
      </w:tr>
      <w:tr w:rsidR="00B17E94" w:rsidRPr="002019B4" w14:paraId="536BC68C" w14:textId="77777777" w:rsidTr="005E113F">
        <w:trPr>
          <w:trHeight w:val="58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95B0F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Amphetamine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71AE1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Evekeo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Evekeo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EE7B5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Adzenys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XR ODT,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Adzenys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Dyanavel</w:t>
            </w:r>
            <w:proofErr w:type="spellEnd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XR</w:t>
            </w:r>
          </w:p>
        </w:tc>
      </w:tr>
      <w:tr w:rsidR="00B17E94" w:rsidRPr="002019B4" w14:paraId="6171BBD3" w14:textId="77777777" w:rsidTr="005E113F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C0C0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Dextroamphetamine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B6210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DD143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Dexedrine</w:t>
            </w:r>
          </w:p>
        </w:tc>
      </w:tr>
      <w:tr w:rsidR="00B17E94" w:rsidRPr="002019B4" w14:paraId="2519D317" w14:textId="77777777" w:rsidTr="005E113F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683D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Amphetamine/Dextroamphetamine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EDD28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Adderall 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6F7B7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Adderall XR, </w:t>
            </w: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Mydayis</w:t>
            </w:r>
            <w:proofErr w:type="spellEnd"/>
          </w:p>
        </w:tc>
      </w:tr>
      <w:tr w:rsidR="00B17E94" w:rsidRPr="002019B4" w14:paraId="6AB04E0C" w14:textId="77777777" w:rsidTr="005E113F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3E841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Lisdexamfetamine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E9B7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00518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Vyvanse</w:t>
            </w:r>
          </w:p>
        </w:tc>
      </w:tr>
      <w:tr w:rsidR="00B17E94" w:rsidRPr="002019B4" w14:paraId="66BFC71A" w14:textId="77777777" w:rsidTr="005E113F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F0485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Methamphetamine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D13D8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F21C8" w14:textId="77777777" w:rsidR="00B17E94" w:rsidRPr="00A40667" w:rsidRDefault="00B17E94" w:rsidP="005E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Desoxyn</w:t>
            </w:r>
            <w:proofErr w:type="spellEnd"/>
          </w:p>
        </w:tc>
      </w:tr>
    </w:tbl>
    <w:p w14:paraId="66461B4B" w14:textId="77777777" w:rsidR="00B17E94" w:rsidRDefault="00B17E94" w:rsidP="00B1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Source: U.S. Food and Drug Administration</w:t>
      </w:r>
    </w:p>
    <w:p w14:paraId="2A91E6D6" w14:textId="77777777" w:rsidR="00B17E94" w:rsidRDefault="00B17E94" w:rsidP="00B1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516A5F" w14:textId="77777777" w:rsidR="00B17E94" w:rsidRDefault="00B17E94" w:rsidP="00B1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B4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2: </w:t>
      </w:r>
      <w:r w:rsidR="00E14F8F">
        <w:rPr>
          <w:rFonts w:ascii="Times New Roman" w:hAnsi="Times New Roman" w:cs="Times New Roman"/>
          <w:sz w:val="24"/>
          <w:szCs w:val="24"/>
        </w:rPr>
        <w:t>U.S. s</w:t>
      </w:r>
      <w:r w:rsidRPr="002019B4">
        <w:rPr>
          <w:rFonts w:ascii="Times New Roman" w:hAnsi="Times New Roman" w:cs="Times New Roman"/>
          <w:sz w:val="24"/>
          <w:szCs w:val="24"/>
        </w:rPr>
        <w:t>tate- and region-specific stimulant dispensing rates per 100 persons, 2018-2019</w:t>
      </w:r>
    </w:p>
    <w:p w14:paraId="606A950D" w14:textId="77777777" w:rsidR="00B17E94" w:rsidRDefault="00B17E94" w:rsidP="00B1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550" w:type="dxa"/>
        <w:tblLook w:val="04A0" w:firstRow="1" w:lastRow="0" w:firstColumn="1" w:lastColumn="0" w:noHBand="0" w:noVBand="1"/>
      </w:tblPr>
      <w:tblGrid>
        <w:gridCol w:w="1800"/>
        <w:gridCol w:w="900"/>
        <w:gridCol w:w="900"/>
        <w:gridCol w:w="1242"/>
        <w:gridCol w:w="1278"/>
        <w:gridCol w:w="810"/>
        <w:gridCol w:w="810"/>
        <w:gridCol w:w="1638"/>
        <w:gridCol w:w="1332"/>
      </w:tblGrid>
      <w:tr w:rsidR="008B4FC5" w:rsidRPr="002019B4" w14:paraId="5EEC004B" w14:textId="77777777" w:rsidTr="00C00676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50C0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C6A5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Rate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8BC8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Rate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4C1CF" w14:textId="72AD5304" w:rsidR="008B4FC5" w:rsidRPr="004F11C0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(Yearly Rates)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C025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527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Rate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918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Rate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5948E6" w14:textId="4A58F081" w:rsidR="008B4FC5" w:rsidRPr="004F11C0" w:rsidRDefault="008B4FC5" w:rsidP="008B4FC5">
            <w:pPr>
              <w:spacing w:after="0" w:line="240" w:lineRule="auto"/>
              <w:ind w:left="-14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(Yearly Rates)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4EA3BB" w14:textId="3E549B6C" w:rsidR="008B4FC5" w:rsidRPr="008B4FC5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Ratio between Regions</w:t>
            </w:r>
          </w:p>
        </w:tc>
      </w:tr>
      <w:tr w:rsidR="008B4FC5" w:rsidRPr="002019B4" w14:paraId="047A4635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4226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labama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8852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60A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802DA6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0A6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EF33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680B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B4DB9A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5964BB" w14:textId="4EDB596C" w:rsidR="008B4FC5" w:rsidRPr="008B4FC5" w:rsidRDefault="008B4FC5" w:rsidP="008B4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2.6*</w:t>
            </w:r>
          </w:p>
        </w:tc>
      </w:tr>
      <w:tr w:rsidR="008B4FC5" w:rsidRPr="002019B4" w14:paraId="24CF008F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24C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laska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4227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A005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3C321F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B964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9C9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0B1B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AF3637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BFA94F" w14:textId="5002603F" w:rsidR="008B4FC5" w:rsidRPr="008B4FC5" w:rsidRDefault="008B4FC5" w:rsidP="008B4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2.1*</w:t>
            </w:r>
          </w:p>
        </w:tc>
      </w:tr>
      <w:tr w:rsidR="008B4FC5" w:rsidRPr="002019B4" w14:paraId="1DA5E3EE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5450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rizona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86D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2BE8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63DB0C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100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F75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3CF26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ED007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1F73AF" w14:textId="06332CD4" w:rsidR="008B4FC5" w:rsidRPr="008B4FC5" w:rsidRDefault="008B4FC5" w:rsidP="008B4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2.8*</w:t>
            </w:r>
          </w:p>
        </w:tc>
      </w:tr>
      <w:tr w:rsidR="008B4FC5" w:rsidRPr="002019B4" w14:paraId="2AF5C3C0" w14:textId="77777777" w:rsidTr="00C00676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F5C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rkansas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D43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7196D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A72B7C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C196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83B3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4BE4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41842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.0*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388DA" w14:textId="744B6F9E" w:rsidR="008B4FC5" w:rsidRPr="008B4FC5" w:rsidRDefault="008B4FC5" w:rsidP="008B4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</w:tr>
      <w:tr w:rsidR="008B4FC5" w:rsidRPr="002019B4" w14:paraId="38547C26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36B3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alifornia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4642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4450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9E5BA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0E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90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58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1E2D47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5FE501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5EB8DBE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B81E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olorado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CC1E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A7A2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C3F05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66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B9F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A7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3540F2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AD55A0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659E7228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8BA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onnecticut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ECF5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548B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03AE4F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E30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F3E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05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452D2C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86C810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50FA9186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E647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elaware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0ED5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E00B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E4BB7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802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156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39C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D73483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AA6182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4B4758C3" w14:textId="77777777" w:rsidTr="00170B9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DA26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istrict of Columbia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831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DE73D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1CFFDB" w14:textId="77777777" w:rsidR="008B4FC5" w:rsidRPr="00E97862" w:rsidRDefault="008B4FC5" w:rsidP="0017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2F3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A68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569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753DEF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79E344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70BEB00D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FEB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lorida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B9B9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36F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6408E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6DB6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F1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AA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D7F6BB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C547FF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11F2A416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4C3D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eorgia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9857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095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FCE15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CB22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801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AB2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BF0EAF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472C4C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591FAE1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AB8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awaii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9EAC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FB4F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BF6E07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91E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01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08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CB7229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8B5E7F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414F2491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4A0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daho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EC28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F35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E9F858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5B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61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CC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818818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F2ECBD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0BB08381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A955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llinois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C2B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6C82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57245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00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FF2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959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313CFE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A1C533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489C7485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934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ndiana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D31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E4AC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7DFA8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36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287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D8C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29EA82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BA4B41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0F383E79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F00B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28C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AD65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CEFF1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B67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926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427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470F99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D24FE2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9D7DB01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162E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ansas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CF61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A73E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B4D0CA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91F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E1D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E44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D7000A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CD5317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2C9BD280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8C5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entucky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A547B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7A8DB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75BFEA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2C2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C9B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BE7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3464D9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B1B97D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2C8338CF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521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ouisiana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605A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309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D8BEA3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4C6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04E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9D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7AADB0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0A246C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4C696227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2D3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EBD4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EF60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2143B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0E8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048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3F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21E4A4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F153A4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252E94ED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7510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aryland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51B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86B1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B25C3B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005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4A0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8D0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D5A8FB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647A26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507DD539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4087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assachusetts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571D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CBF7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AE05A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8A2D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C40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42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C3E5C3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F65691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4144BF6F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9D03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ichigan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48B2B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BC04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BF420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606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45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A8D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945810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A7478A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24525323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E45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innesota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4770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514E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EA0569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7286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4F6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07C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CDCC7A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CE3A58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09D8AFDF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1B7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57A9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CEA1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C67A4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D3C6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1A9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2A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24AA11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413E22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7A6CDB6A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FA81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issouri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12E4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8AF76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9003A8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09F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81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D0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892B30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EEAA29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6E818535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59C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ontana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42E0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73FA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C1B379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F9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35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91B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FFA47F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FA6D68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483E916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0460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ebraska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C4E0B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AD67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14361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F0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A6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B75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BC32B5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963CB8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416BD483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1D22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evada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8D26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B9866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4DA1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BC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C51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60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444283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5C854D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34990F7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46A9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 Hampshire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A549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BD2A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C9061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8EB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DD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F0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F5BCAC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F802CF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2AC736C5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250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 Jersey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85A7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2F6F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97856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8D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1D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9E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92FF72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029484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90A7541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EF0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 Mexico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694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5E08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6347B3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81C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C04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9B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AF25DB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F0189A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4229A559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1112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 York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185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C448E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EF232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56A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E6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65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9752F7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FAB1AA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6F80AF7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21C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 Carolina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65A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638D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BC316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29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1F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6C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ED9E16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7A8EF7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23095A55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971E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 Dakota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AD4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7386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BC48C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5BD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B63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16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AB0C27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A20AFE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00C216EF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3CC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hio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811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CB8B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796F4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F13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D93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49A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4A185B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394064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7ED7E6D9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67E5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klahoma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93C7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2D3A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D908B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022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945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D4D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E415D9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CB174B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635BD795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0068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7078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1032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F50EB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F98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AD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443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824063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90E443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68076FF5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A54A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ennsylvania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8F9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7768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B4826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69B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D1E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0C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5AE92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AAE33D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1F104BCC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EF45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hode Island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00AB0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6E96B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569D0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366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E6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16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82867C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122CC9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98E67B1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A3C1" w14:textId="77777777" w:rsidR="008B4FC5" w:rsidRPr="00E97862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Carolina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F0A5D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D772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156E2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0A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4F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B2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4F657B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99022A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75BA1703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B0EB" w14:textId="77777777" w:rsidR="008B4FC5" w:rsidRPr="00E97862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Dakota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BE30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0DA6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17AC69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FC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65F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8E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7F5FA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184FBB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4A937A6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C55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ennessee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DD44E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ABD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B72CF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33E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3AC7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28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1AC1F9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345B7C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77B96AE1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89EA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BC4E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E00B9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AEB07F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23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6C5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9A8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56ECF9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71E7D4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15F736EC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6224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4D2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62285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70F20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B0E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D60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92E1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BCF99A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64591CC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6E73A62A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2C03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ermont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4FEE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4E173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49F5AF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C9E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05A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D1A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9729C6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CE6D48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5A579EED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8DC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irginia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A9C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8174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BDF52B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4AD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C136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F9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6218E3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05A7C1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46FDDABE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8CDD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ashington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D0EC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D2E0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CBA9CB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B647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79F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C198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1C9A02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F122AB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2F9A2BF7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D7535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 Virginia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61EFC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943F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70189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DE0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A24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14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CBCED6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6EBD012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361952E6" w14:textId="77777777" w:rsidTr="00C00676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56C03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isconsin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7B4B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FBBAB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DF7DA4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D358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BDD9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05F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E1C2B6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9B8EAED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5" w:rsidRPr="002019B4" w14:paraId="08283F80" w14:textId="77777777" w:rsidTr="00C00676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225E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yoming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91756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11801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2CF6D" w14:textId="77777777" w:rsidR="008B4FC5" w:rsidRPr="00E97862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C7A" w14:textId="77777777" w:rsidR="008B4FC5" w:rsidRPr="00A40667" w:rsidRDefault="008B4FC5" w:rsidP="008B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BD0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937A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83E698B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D63C924" w14:textId="77777777" w:rsidR="008B4FC5" w:rsidRPr="00A40667" w:rsidRDefault="008B4FC5" w:rsidP="008B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8C7AD" w14:textId="77777777" w:rsidR="00B17E94" w:rsidRDefault="00B17E94" w:rsidP="00B1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Source: </w:t>
      </w:r>
      <w:r w:rsidRPr="003A40FC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IQVIA </w:t>
      </w:r>
      <w:r w:rsidRPr="003A40FC">
        <w:rPr>
          <w:rFonts w:ascii="Times New Roman" w:hAnsi="Times New Roman" w:cs="Times New Roman"/>
          <w:sz w:val="24"/>
          <w:szCs w:val="24"/>
        </w:rPr>
        <w:t>National Prescription Audit (NPA) New to Brand Regional</w:t>
      </w:r>
    </w:p>
    <w:p w14:paraId="50B0F7D6" w14:textId="77777777" w:rsidR="00B17E94" w:rsidRPr="00E97862" w:rsidRDefault="00B17E94" w:rsidP="00B1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*Significant at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77BFB">
        <w:rPr>
          <w:rFonts w:ascii="Times New Roman" w:hAnsi="Times New Roman" w:cs="Times New Roman"/>
          <w:sz w:val="24"/>
          <w:szCs w:val="24"/>
        </w:rPr>
        <w:t>&lt;0.05</w:t>
      </w:r>
      <w:r>
        <w:rPr>
          <w:rFonts w:ascii="Times New Roman" w:hAnsi="Times New Roman" w:cs="Times New Roman"/>
          <w:sz w:val="24"/>
          <w:szCs w:val="24"/>
        </w:rPr>
        <w:t>; calculated using chi square test for statistical significance</w:t>
      </w:r>
    </w:p>
    <w:p w14:paraId="3020AB3A" w14:textId="77777777" w:rsidR="00FC70C6" w:rsidRDefault="00FC70C6"/>
    <w:sectPr w:rsidR="00FC70C6" w:rsidSect="00D26908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6CEA" w14:textId="77777777" w:rsidR="000D398A" w:rsidRDefault="000D398A" w:rsidP="00B17E94">
      <w:pPr>
        <w:spacing w:after="0" w:line="240" w:lineRule="auto"/>
      </w:pPr>
      <w:r>
        <w:separator/>
      </w:r>
    </w:p>
  </w:endnote>
  <w:endnote w:type="continuationSeparator" w:id="0">
    <w:p w14:paraId="57E080C1" w14:textId="77777777" w:rsidR="000D398A" w:rsidRDefault="000D398A" w:rsidP="00B1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22F6" w14:textId="77777777" w:rsidR="000D398A" w:rsidRDefault="000D398A" w:rsidP="00B17E94">
      <w:pPr>
        <w:spacing w:after="0" w:line="240" w:lineRule="auto"/>
      </w:pPr>
      <w:r>
        <w:separator/>
      </w:r>
    </w:p>
  </w:footnote>
  <w:footnote w:type="continuationSeparator" w:id="0">
    <w:p w14:paraId="52C6DB1F" w14:textId="77777777" w:rsidR="000D398A" w:rsidRDefault="000D398A" w:rsidP="00B1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08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C157A8" w14:textId="77777777" w:rsidR="00B17E94" w:rsidRPr="00B17E94" w:rsidRDefault="00B17E9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7E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E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7E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17E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7E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4CB726" w14:textId="77777777" w:rsidR="00B17E94" w:rsidRDefault="00B17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4"/>
    <w:rsid w:val="000D398A"/>
    <w:rsid w:val="00102CF0"/>
    <w:rsid w:val="00170B96"/>
    <w:rsid w:val="00600FF4"/>
    <w:rsid w:val="00675D22"/>
    <w:rsid w:val="00715226"/>
    <w:rsid w:val="008B4FC5"/>
    <w:rsid w:val="00B17E94"/>
    <w:rsid w:val="00C00676"/>
    <w:rsid w:val="00C0080A"/>
    <w:rsid w:val="00CF7C5A"/>
    <w:rsid w:val="00D26908"/>
    <w:rsid w:val="00E14F8F"/>
    <w:rsid w:val="00E75810"/>
    <w:rsid w:val="00FB371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A006"/>
  <w15:chartTrackingRefBased/>
  <w15:docId w15:val="{86F3792F-D272-4486-92B1-D16179E6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94"/>
  </w:style>
  <w:style w:type="paragraph" w:styleId="Footer">
    <w:name w:val="footer"/>
    <w:basedOn w:val="Normal"/>
    <w:link w:val="FooterChar"/>
    <w:uiPriority w:val="99"/>
    <w:unhideWhenUsed/>
    <w:rsid w:val="00B1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94"/>
  </w:style>
  <w:style w:type="paragraph" w:styleId="BalloonText">
    <w:name w:val="Balloon Text"/>
    <w:basedOn w:val="Normal"/>
    <w:link w:val="BalloonTextChar"/>
    <w:uiPriority w:val="99"/>
    <w:semiHidden/>
    <w:unhideWhenUsed/>
    <w:rsid w:val="00E1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Board, Amy (CDC/DDNID/NCIPC/DOP)</dc:creator>
  <cp:keywords/>
  <dc:description/>
  <cp:lastModifiedBy>Board, Amy (CDC/DDNID/NCIPC/DOP)</cp:lastModifiedBy>
  <cp:revision>4</cp:revision>
  <dcterms:created xsi:type="dcterms:W3CDTF">2020-09-09T13:48:00Z</dcterms:created>
  <dcterms:modified xsi:type="dcterms:W3CDTF">2020-09-16T17:33:00Z</dcterms:modified>
</cp:coreProperties>
</file>