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D075E3" w14:textId="77777777" w:rsidR="00F16732" w:rsidRPr="001673D8" w:rsidRDefault="00F16732" w:rsidP="00881F21">
      <w:pPr>
        <w:spacing w:line="480" w:lineRule="auto"/>
        <w:jc w:val="both"/>
        <w:rPr>
          <w:rFonts w:ascii="Arial" w:hAnsi="Arial" w:cs="Arial"/>
          <w:b/>
          <w:sz w:val="28"/>
        </w:rPr>
      </w:pPr>
      <w:r w:rsidRPr="001673D8">
        <w:rPr>
          <w:rFonts w:ascii="Arial" w:hAnsi="Arial" w:cs="Arial"/>
          <w:b/>
          <w:sz w:val="28"/>
        </w:rPr>
        <w:t>Supplementary Material</w:t>
      </w:r>
    </w:p>
    <w:p w14:paraId="5B9C6BCF" w14:textId="68A3BE8A" w:rsidR="007F0441" w:rsidRPr="00057CE4" w:rsidRDefault="00F16732" w:rsidP="00881F21">
      <w:pPr>
        <w:spacing w:line="480" w:lineRule="auto"/>
        <w:jc w:val="both"/>
        <w:rPr>
          <w:rFonts w:ascii="Arial" w:hAnsi="Arial" w:cs="Arial"/>
          <w:sz w:val="24"/>
        </w:rPr>
      </w:pPr>
      <w:r w:rsidRPr="00881F21">
        <w:rPr>
          <w:rFonts w:ascii="Arial" w:hAnsi="Arial" w:cs="Arial"/>
          <w:sz w:val="24"/>
        </w:rPr>
        <w:t xml:space="preserve">Supplement to: </w:t>
      </w:r>
      <w:r w:rsidR="007C4985" w:rsidRPr="007C4985">
        <w:rPr>
          <w:rFonts w:ascii="Arial" w:hAnsi="Arial" w:cs="Arial"/>
          <w:sz w:val="24"/>
        </w:rPr>
        <w:t>Can pneumococcal meningitis surveillance be used to assess the impact of pneumococcal conjugate vaccine on total invasive pneumococcal disease? A case-study from South Africa, 2005-2016</w:t>
      </w:r>
      <w:bookmarkStart w:id="0" w:name="_GoBack"/>
      <w:bookmarkEnd w:id="0"/>
    </w:p>
    <w:p w14:paraId="6A810B05" w14:textId="4282E627" w:rsidR="002A4FB6" w:rsidRDefault="002A4FB6" w:rsidP="00881F21">
      <w:pPr>
        <w:spacing w:line="480" w:lineRule="auto"/>
        <w:jc w:val="both"/>
        <w:rPr>
          <w:rFonts w:ascii="Arial" w:hAnsi="Arial" w:cs="Arial"/>
          <w:b/>
          <w:sz w:val="24"/>
        </w:rPr>
      </w:pPr>
      <w:r>
        <w:rPr>
          <w:rFonts w:ascii="Arial" w:hAnsi="Arial" w:cs="Arial"/>
          <w:b/>
          <w:sz w:val="24"/>
        </w:rPr>
        <w:t>Table of contents</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567"/>
      </w:tblGrid>
      <w:tr w:rsidR="007F2A9A" w:rsidRPr="002A4FB6" w14:paraId="2ECC5AF0" w14:textId="77777777" w:rsidTr="007F2A9A">
        <w:trPr>
          <w:trHeight w:val="780"/>
        </w:trPr>
        <w:tc>
          <w:tcPr>
            <w:tcW w:w="8647" w:type="dxa"/>
          </w:tcPr>
          <w:p w14:paraId="07C53932" w14:textId="27E51E25" w:rsidR="007F2A9A" w:rsidRPr="000F6EBC" w:rsidRDefault="007F2A9A" w:rsidP="007F2A9A">
            <w:pPr>
              <w:rPr>
                <w:rStyle w:val="Hyperlink"/>
                <w:rFonts w:ascii="Arial" w:hAnsi="Arial" w:cs="Arial"/>
                <w:b/>
                <w:sz w:val="24"/>
                <w:szCs w:val="24"/>
              </w:rPr>
            </w:pPr>
            <w:r>
              <w:rPr>
                <w:rStyle w:val="Hyperlink"/>
                <w:rFonts w:ascii="Arial" w:hAnsi="Arial" w:cs="Arial"/>
                <w:b/>
                <w:sz w:val="24"/>
                <w:szCs w:val="24"/>
              </w:rPr>
              <w:t xml:space="preserve">Supplementary Figure 1. </w:t>
            </w:r>
            <w:r w:rsidRPr="007F2A9A">
              <w:rPr>
                <w:rStyle w:val="Hyperlink"/>
                <w:rFonts w:ascii="Arial" w:hAnsi="Arial" w:cs="Arial"/>
                <w:sz w:val="24"/>
                <w:szCs w:val="24"/>
              </w:rPr>
              <w:t>Trend</w:t>
            </w:r>
            <w:r>
              <w:rPr>
                <w:rStyle w:val="Hyperlink"/>
                <w:rFonts w:ascii="Arial" w:hAnsi="Arial" w:cs="Arial"/>
                <w:sz w:val="24"/>
                <w:szCs w:val="24"/>
              </w:rPr>
              <w:t>s</w:t>
            </w:r>
            <w:r w:rsidRPr="007F2A9A">
              <w:rPr>
                <w:rStyle w:val="Hyperlink"/>
                <w:rFonts w:ascii="Arial" w:hAnsi="Arial" w:cs="Arial"/>
                <w:sz w:val="24"/>
                <w:szCs w:val="24"/>
              </w:rPr>
              <w:t xml:space="preserve"> of invasive pneumococcal disease (IPD) incidence from 2005 – 2016, by specimen type used for diagnosis, South Africa.</w:t>
            </w:r>
          </w:p>
        </w:tc>
        <w:tc>
          <w:tcPr>
            <w:tcW w:w="567" w:type="dxa"/>
            <w:vAlign w:val="bottom"/>
          </w:tcPr>
          <w:p w14:paraId="342FF4BA" w14:textId="064A294A" w:rsidR="007F2A9A" w:rsidRDefault="007F2A9A" w:rsidP="00CE7372">
            <w:pPr>
              <w:jc w:val="right"/>
              <w:rPr>
                <w:rFonts w:ascii="Arial" w:hAnsi="Arial" w:cs="Arial"/>
                <w:sz w:val="24"/>
                <w:szCs w:val="24"/>
              </w:rPr>
            </w:pPr>
            <w:r>
              <w:rPr>
                <w:rFonts w:ascii="Arial" w:hAnsi="Arial" w:cs="Arial"/>
                <w:sz w:val="24"/>
                <w:szCs w:val="24"/>
              </w:rPr>
              <w:t>2</w:t>
            </w:r>
          </w:p>
        </w:tc>
      </w:tr>
      <w:tr w:rsidR="000F6EBC" w:rsidRPr="002A4FB6" w14:paraId="4BA5C0E8" w14:textId="77777777" w:rsidTr="000F6EBC">
        <w:trPr>
          <w:trHeight w:val="1063"/>
        </w:trPr>
        <w:tc>
          <w:tcPr>
            <w:tcW w:w="8647" w:type="dxa"/>
          </w:tcPr>
          <w:p w14:paraId="08C4962E" w14:textId="5426DA95" w:rsidR="000F6EBC" w:rsidRPr="002A4FB6" w:rsidRDefault="000F6EBC" w:rsidP="008A4076">
            <w:pPr>
              <w:rPr>
                <w:rStyle w:val="Hyperlink"/>
                <w:rFonts w:ascii="Arial" w:hAnsi="Arial" w:cs="Arial"/>
                <w:b/>
                <w:sz w:val="24"/>
                <w:szCs w:val="24"/>
              </w:rPr>
            </w:pPr>
            <w:r w:rsidRPr="000F6EBC">
              <w:rPr>
                <w:rStyle w:val="Hyperlink"/>
                <w:rFonts w:ascii="Arial" w:hAnsi="Arial" w:cs="Arial"/>
                <w:b/>
                <w:sz w:val="24"/>
                <w:szCs w:val="24"/>
              </w:rPr>
              <w:t xml:space="preserve">Supplementary Table 1. </w:t>
            </w:r>
            <w:r w:rsidRPr="000F6EBC">
              <w:rPr>
                <w:rStyle w:val="Hyperlink"/>
                <w:rFonts w:ascii="Arial" w:hAnsi="Arial" w:cs="Arial"/>
                <w:sz w:val="24"/>
                <w:szCs w:val="24"/>
              </w:rPr>
              <w:t>Percentage difference in rates of total invasive pneumococcal disease (tIPD) and pneumococcal meningitis (PM) between 2005-2008 (pre-PCV introduction) and 2012 (post-PCV introduction) and percentage effect difference in rate changes between 2005-2008 and 2012 for PM compared to tIPD, South Africa, 2005-2012</w:t>
            </w:r>
          </w:p>
        </w:tc>
        <w:tc>
          <w:tcPr>
            <w:tcW w:w="567" w:type="dxa"/>
            <w:vAlign w:val="bottom"/>
          </w:tcPr>
          <w:p w14:paraId="78C228D7" w14:textId="01A4D4D9" w:rsidR="000F6EBC" w:rsidRDefault="007F2A9A" w:rsidP="00CE7372">
            <w:pPr>
              <w:jc w:val="right"/>
              <w:rPr>
                <w:rFonts w:ascii="Arial" w:hAnsi="Arial" w:cs="Arial"/>
                <w:sz w:val="24"/>
                <w:szCs w:val="24"/>
              </w:rPr>
            </w:pPr>
            <w:r>
              <w:rPr>
                <w:rFonts w:ascii="Arial" w:hAnsi="Arial" w:cs="Arial"/>
                <w:sz w:val="24"/>
                <w:szCs w:val="24"/>
              </w:rPr>
              <w:t>3</w:t>
            </w:r>
          </w:p>
        </w:tc>
      </w:tr>
      <w:tr w:rsidR="000F6EBC" w:rsidRPr="002A4FB6" w14:paraId="2EE3B90B" w14:textId="77777777" w:rsidTr="000F6EBC">
        <w:trPr>
          <w:trHeight w:val="1063"/>
        </w:trPr>
        <w:tc>
          <w:tcPr>
            <w:tcW w:w="8647" w:type="dxa"/>
          </w:tcPr>
          <w:p w14:paraId="39FADDBC" w14:textId="7EDFD7B5" w:rsidR="000F6EBC" w:rsidRPr="002A4FB6" w:rsidRDefault="000F6EBC" w:rsidP="008A4076">
            <w:pPr>
              <w:rPr>
                <w:rStyle w:val="Hyperlink"/>
                <w:rFonts w:ascii="Arial" w:hAnsi="Arial" w:cs="Arial"/>
                <w:b/>
                <w:sz w:val="24"/>
                <w:szCs w:val="24"/>
              </w:rPr>
            </w:pPr>
            <w:r>
              <w:rPr>
                <w:rStyle w:val="Hyperlink"/>
                <w:rFonts w:ascii="Arial" w:hAnsi="Arial" w:cs="Arial"/>
                <w:b/>
                <w:sz w:val="24"/>
                <w:szCs w:val="24"/>
              </w:rPr>
              <w:t>Supplementary</w:t>
            </w:r>
            <w:r>
              <w:rPr>
                <w:rFonts w:ascii="Arial" w:eastAsia="Calibri" w:hAnsi="Arial" w:cs="Arial"/>
                <w:b/>
                <w:sz w:val="24"/>
                <w:szCs w:val="24"/>
                <w:lang w:val="en-US"/>
              </w:rPr>
              <w:t xml:space="preserve"> Table 2.</w:t>
            </w:r>
            <w:r>
              <w:rPr>
                <w:rFonts w:ascii="Arial" w:eastAsia="Calibri" w:hAnsi="Arial" w:cs="Arial"/>
                <w:sz w:val="24"/>
                <w:szCs w:val="24"/>
                <w:lang w:val="en-US"/>
              </w:rPr>
              <w:t xml:space="preserve"> Percentage difference in rates of total invasive pneumococcal disease (tIPD) and pneumococcal meningitis (PM) between 2005-2008 (pre-PCV introduction) and 2016 (post-PCV introduction) and percentage effect difference in rate changes between 2005-2008 and 2016 for PM compared to tIPD, South Africa, 2005-2016</w:t>
            </w:r>
          </w:p>
        </w:tc>
        <w:tc>
          <w:tcPr>
            <w:tcW w:w="567" w:type="dxa"/>
            <w:vAlign w:val="bottom"/>
          </w:tcPr>
          <w:p w14:paraId="68195521" w14:textId="27522B42" w:rsidR="000F6EBC" w:rsidRDefault="007F2A9A" w:rsidP="00CE7372">
            <w:pPr>
              <w:jc w:val="right"/>
              <w:rPr>
                <w:rFonts w:ascii="Arial" w:hAnsi="Arial" w:cs="Arial"/>
                <w:sz w:val="24"/>
                <w:szCs w:val="24"/>
              </w:rPr>
            </w:pPr>
            <w:r>
              <w:rPr>
                <w:rFonts w:ascii="Arial" w:hAnsi="Arial" w:cs="Arial"/>
                <w:sz w:val="24"/>
                <w:szCs w:val="24"/>
              </w:rPr>
              <w:t>4</w:t>
            </w:r>
          </w:p>
        </w:tc>
      </w:tr>
      <w:tr w:rsidR="008A4076" w:rsidRPr="002A4FB6" w14:paraId="0ACB4FBD" w14:textId="77777777" w:rsidTr="000F6EBC">
        <w:trPr>
          <w:trHeight w:val="1063"/>
        </w:trPr>
        <w:tc>
          <w:tcPr>
            <w:tcW w:w="8647" w:type="dxa"/>
          </w:tcPr>
          <w:p w14:paraId="2DF24871" w14:textId="43568C90" w:rsidR="008A4076" w:rsidRPr="002A4FB6" w:rsidRDefault="008A4076" w:rsidP="000F6EBC">
            <w:pPr>
              <w:rPr>
                <w:rStyle w:val="Hyperlink"/>
                <w:rFonts w:ascii="Arial" w:hAnsi="Arial" w:cs="Arial"/>
                <w:b/>
                <w:sz w:val="24"/>
                <w:szCs w:val="24"/>
              </w:rPr>
            </w:pPr>
            <w:r w:rsidRPr="002A4FB6">
              <w:rPr>
                <w:rStyle w:val="Hyperlink"/>
                <w:rFonts w:ascii="Arial" w:hAnsi="Arial" w:cs="Arial"/>
                <w:b/>
                <w:sz w:val="24"/>
                <w:szCs w:val="24"/>
              </w:rPr>
              <w:t xml:space="preserve">Supplementary Table </w:t>
            </w:r>
            <w:r w:rsidR="000F6EBC">
              <w:rPr>
                <w:rStyle w:val="Hyperlink"/>
                <w:rFonts w:ascii="Arial" w:hAnsi="Arial" w:cs="Arial"/>
                <w:b/>
                <w:sz w:val="24"/>
                <w:szCs w:val="24"/>
              </w:rPr>
              <w:t>3</w:t>
            </w:r>
            <w:r w:rsidRPr="00142AFB">
              <w:rPr>
                <w:rFonts w:ascii="Arial" w:eastAsia="Calibri" w:hAnsi="Arial" w:cs="Arial"/>
                <w:b/>
                <w:sz w:val="24"/>
                <w:szCs w:val="24"/>
                <w:lang w:val="en-US"/>
              </w:rPr>
              <w:t>.</w:t>
            </w:r>
            <w:r w:rsidRPr="00142AFB">
              <w:rPr>
                <w:rFonts w:ascii="Arial" w:eastAsia="Calibri" w:hAnsi="Arial" w:cs="Arial"/>
                <w:sz w:val="24"/>
                <w:szCs w:val="24"/>
                <w:lang w:val="en-US"/>
              </w:rPr>
              <w:t xml:space="preserve"> Percentage difference in rates of </w:t>
            </w:r>
            <w:r>
              <w:rPr>
                <w:rFonts w:ascii="Arial" w:eastAsia="Calibri" w:hAnsi="Arial" w:cs="Arial"/>
                <w:sz w:val="24"/>
                <w:szCs w:val="24"/>
                <w:lang w:val="en-US"/>
              </w:rPr>
              <w:t>non-meningitis</w:t>
            </w:r>
            <w:r w:rsidRPr="00142AFB">
              <w:rPr>
                <w:rFonts w:ascii="Arial" w:eastAsia="Calibri" w:hAnsi="Arial" w:cs="Arial"/>
                <w:sz w:val="24"/>
                <w:szCs w:val="24"/>
                <w:lang w:val="en-US"/>
              </w:rPr>
              <w:t xml:space="preserve"> invasive pneumococcal disease (</w:t>
            </w:r>
            <w:r>
              <w:rPr>
                <w:rFonts w:ascii="Arial" w:eastAsia="Calibri" w:hAnsi="Arial" w:cs="Arial"/>
                <w:sz w:val="24"/>
                <w:szCs w:val="24"/>
                <w:lang w:val="en-US"/>
              </w:rPr>
              <w:t>nmIPD</w:t>
            </w:r>
            <w:r w:rsidRPr="00142AFB">
              <w:rPr>
                <w:rFonts w:ascii="Arial" w:eastAsia="Calibri" w:hAnsi="Arial" w:cs="Arial"/>
                <w:sz w:val="24"/>
                <w:szCs w:val="24"/>
                <w:lang w:val="en-US"/>
              </w:rPr>
              <w:t xml:space="preserve">) and pneumococcal meningitis (PM) between 2005-2008 (pre-PCV introduction) and 2012 (post-PCV introduction) and percentage effect difference in rate changes between 2005-2008 and 2012 for PM compared to </w:t>
            </w:r>
            <w:r>
              <w:rPr>
                <w:rFonts w:ascii="Arial" w:eastAsia="Calibri" w:hAnsi="Arial" w:cs="Arial"/>
                <w:sz w:val="24"/>
                <w:szCs w:val="24"/>
                <w:lang w:val="en-US"/>
              </w:rPr>
              <w:t>nmIPD</w:t>
            </w:r>
            <w:r w:rsidRPr="00142AFB">
              <w:rPr>
                <w:rFonts w:ascii="Arial" w:eastAsia="Calibri" w:hAnsi="Arial" w:cs="Arial"/>
                <w:sz w:val="24"/>
                <w:szCs w:val="24"/>
                <w:lang w:val="en-US"/>
              </w:rPr>
              <w:t>, South Africa, 2005-2012</w:t>
            </w:r>
          </w:p>
        </w:tc>
        <w:tc>
          <w:tcPr>
            <w:tcW w:w="567" w:type="dxa"/>
            <w:vAlign w:val="bottom"/>
          </w:tcPr>
          <w:p w14:paraId="42D1EF04" w14:textId="24D4CC96" w:rsidR="008A4076" w:rsidRPr="002A4FB6" w:rsidRDefault="007F2A9A" w:rsidP="00CE7372">
            <w:pPr>
              <w:jc w:val="right"/>
              <w:rPr>
                <w:rFonts w:ascii="Arial" w:hAnsi="Arial" w:cs="Arial"/>
                <w:sz w:val="24"/>
                <w:szCs w:val="24"/>
              </w:rPr>
            </w:pPr>
            <w:r>
              <w:rPr>
                <w:rFonts w:ascii="Arial" w:hAnsi="Arial" w:cs="Arial"/>
                <w:sz w:val="24"/>
                <w:szCs w:val="24"/>
              </w:rPr>
              <w:t>5</w:t>
            </w:r>
          </w:p>
        </w:tc>
      </w:tr>
      <w:tr w:rsidR="008A4076" w:rsidRPr="002A4FB6" w14:paraId="496DDE29" w14:textId="77777777" w:rsidTr="000F6EBC">
        <w:trPr>
          <w:trHeight w:val="1063"/>
        </w:trPr>
        <w:tc>
          <w:tcPr>
            <w:tcW w:w="8647" w:type="dxa"/>
          </w:tcPr>
          <w:p w14:paraId="4096CE62" w14:textId="0E48D821" w:rsidR="008A4076" w:rsidRPr="008A4076" w:rsidRDefault="008A4076" w:rsidP="000F6EBC">
            <w:pPr>
              <w:jc w:val="both"/>
              <w:rPr>
                <w:rStyle w:val="Hyperlink"/>
                <w:rFonts w:ascii="Arial" w:eastAsia="Calibri" w:hAnsi="Arial" w:cs="Arial"/>
                <w:color w:val="auto"/>
                <w:sz w:val="24"/>
                <w:szCs w:val="24"/>
                <w:lang w:val="en-US"/>
              </w:rPr>
            </w:pPr>
            <w:r w:rsidRPr="002A4FB6">
              <w:rPr>
                <w:rStyle w:val="Hyperlink"/>
                <w:rFonts w:ascii="Arial" w:hAnsi="Arial" w:cs="Arial"/>
                <w:b/>
                <w:sz w:val="24"/>
                <w:szCs w:val="24"/>
              </w:rPr>
              <w:t xml:space="preserve">Supplementary Table </w:t>
            </w:r>
            <w:r w:rsidR="000F6EBC">
              <w:rPr>
                <w:rStyle w:val="Hyperlink"/>
                <w:rFonts w:ascii="Arial" w:hAnsi="Arial" w:cs="Arial"/>
                <w:b/>
                <w:sz w:val="24"/>
                <w:szCs w:val="24"/>
              </w:rPr>
              <w:t>4</w:t>
            </w:r>
            <w:r w:rsidRPr="00142AFB">
              <w:rPr>
                <w:rFonts w:ascii="Arial" w:eastAsia="Calibri" w:hAnsi="Arial" w:cs="Arial"/>
                <w:b/>
                <w:sz w:val="24"/>
                <w:szCs w:val="24"/>
                <w:lang w:val="en-US"/>
              </w:rPr>
              <w:t>.</w:t>
            </w:r>
            <w:r w:rsidRPr="00142AFB">
              <w:rPr>
                <w:rFonts w:ascii="Arial" w:eastAsia="Calibri" w:hAnsi="Arial" w:cs="Arial"/>
                <w:sz w:val="24"/>
                <w:szCs w:val="24"/>
                <w:lang w:val="en-US"/>
              </w:rPr>
              <w:t xml:space="preserve"> Percentage difference in rates of </w:t>
            </w:r>
            <w:r>
              <w:rPr>
                <w:rFonts w:ascii="Arial" w:eastAsia="Calibri" w:hAnsi="Arial" w:cs="Arial"/>
                <w:sz w:val="24"/>
                <w:szCs w:val="24"/>
                <w:lang w:val="en-US"/>
              </w:rPr>
              <w:t>non-meningitis</w:t>
            </w:r>
            <w:r w:rsidRPr="00142AFB">
              <w:rPr>
                <w:rFonts w:ascii="Arial" w:eastAsia="Calibri" w:hAnsi="Arial" w:cs="Arial"/>
                <w:sz w:val="24"/>
                <w:szCs w:val="24"/>
                <w:lang w:val="en-US"/>
              </w:rPr>
              <w:t xml:space="preserve"> invasive pneumococcal disease (</w:t>
            </w:r>
            <w:r>
              <w:rPr>
                <w:rFonts w:ascii="Arial" w:eastAsia="Calibri" w:hAnsi="Arial" w:cs="Arial"/>
                <w:sz w:val="24"/>
                <w:szCs w:val="24"/>
                <w:lang w:val="en-US"/>
              </w:rPr>
              <w:t>nmIPD</w:t>
            </w:r>
            <w:r w:rsidRPr="00142AFB">
              <w:rPr>
                <w:rFonts w:ascii="Arial" w:eastAsia="Calibri" w:hAnsi="Arial" w:cs="Arial"/>
                <w:sz w:val="24"/>
                <w:szCs w:val="24"/>
                <w:lang w:val="en-US"/>
              </w:rPr>
              <w:t xml:space="preserve">) and pneumococcal meningitis (PM) between 2005-2008 (pre-PCV introduction) and 2016 (post-PCV introduction) and percentage effect difference in rate changes between 2005-2008 and 2016 for PM compared to </w:t>
            </w:r>
            <w:r>
              <w:rPr>
                <w:rFonts w:ascii="Arial" w:eastAsia="Calibri" w:hAnsi="Arial" w:cs="Arial"/>
                <w:sz w:val="24"/>
                <w:szCs w:val="24"/>
                <w:lang w:val="en-US"/>
              </w:rPr>
              <w:t>nmIPD</w:t>
            </w:r>
            <w:r w:rsidRPr="00142AFB">
              <w:rPr>
                <w:rFonts w:ascii="Arial" w:eastAsia="Calibri" w:hAnsi="Arial" w:cs="Arial"/>
                <w:sz w:val="24"/>
                <w:szCs w:val="24"/>
                <w:lang w:val="en-US"/>
              </w:rPr>
              <w:t>, South Africa, 2005-2016</w:t>
            </w:r>
          </w:p>
        </w:tc>
        <w:tc>
          <w:tcPr>
            <w:tcW w:w="567" w:type="dxa"/>
            <w:vAlign w:val="bottom"/>
          </w:tcPr>
          <w:p w14:paraId="747862A9" w14:textId="76BFE5BC" w:rsidR="008A4076" w:rsidRPr="002A4FB6" w:rsidRDefault="007F2A9A" w:rsidP="00CE7372">
            <w:pPr>
              <w:jc w:val="right"/>
              <w:rPr>
                <w:rFonts w:ascii="Arial" w:hAnsi="Arial" w:cs="Arial"/>
                <w:sz w:val="24"/>
                <w:szCs w:val="24"/>
              </w:rPr>
            </w:pPr>
            <w:r>
              <w:rPr>
                <w:rFonts w:ascii="Arial" w:hAnsi="Arial" w:cs="Arial"/>
                <w:sz w:val="24"/>
                <w:szCs w:val="24"/>
              </w:rPr>
              <w:t>6</w:t>
            </w:r>
          </w:p>
        </w:tc>
      </w:tr>
      <w:tr w:rsidR="00057CE4" w:rsidRPr="002A4FB6" w14:paraId="7B14A6EE" w14:textId="77777777" w:rsidTr="000F6EBC">
        <w:trPr>
          <w:trHeight w:val="1063"/>
        </w:trPr>
        <w:tc>
          <w:tcPr>
            <w:tcW w:w="8647" w:type="dxa"/>
          </w:tcPr>
          <w:p w14:paraId="651065ED" w14:textId="4E1EB2D2" w:rsidR="00057CE4" w:rsidRPr="00057CE4" w:rsidRDefault="00057CE4" w:rsidP="00057CE4">
            <w:pPr>
              <w:rPr>
                <w:rStyle w:val="Hyperlink"/>
                <w:rFonts w:ascii="Arial" w:eastAsia="Calibri" w:hAnsi="Arial" w:cs="Arial"/>
                <w:color w:val="auto"/>
                <w:sz w:val="24"/>
                <w:szCs w:val="24"/>
                <w:lang w:val="en-US"/>
              </w:rPr>
            </w:pPr>
            <w:r w:rsidRPr="002A4FB6">
              <w:rPr>
                <w:rStyle w:val="Hyperlink"/>
                <w:rFonts w:ascii="Arial" w:hAnsi="Arial" w:cs="Arial"/>
                <w:b/>
                <w:sz w:val="24"/>
                <w:szCs w:val="24"/>
              </w:rPr>
              <w:t xml:space="preserve">Supplementary </w:t>
            </w:r>
            <w:r>
              <w:rPr>
                <w:rStyle w:val="Hyperlink"/>
                <w:rFonts w:ascii="Arial" w:hAnsi="Arial" w:cs="Arial"/>
                <w:b/>
                <w:sz w:val="24"/>
                <w:szCs w:val="24"/>
              </w:rPr>
              <w:t>Figure</w:t>
            </w:r>
            <w:r w:rsidRPr="002A4FB6">
              <w:rPr>
                <w:rStyle w:val="Hyperlink"/>
                <w:rFonts w:ascii="Arial" w:hAnsi="Arial" w:cs="Arial"/>
                <w:b/>
                <w:sz w:val="24"/>
                <w:szCs w:val="24"/>
              </w:rPr>
              <w:t xml:space="preserve"> </w:t>
            </w:r>
            <w:r>
              <w:rPr>
                <w:rStyle w:val="Hyperlink"/>
                <w:rFonts w:ascii="Arial" w:hAnsi="Arial" w:cs="Arial"/>
                <w:b/>
                <w:sz w:val="24"/>
                <w:szCs w:val="24"/>
              </w:rPr>
              <w:t>2</w:t>
            </w:r>
            <w:r w:rsidRPr="00142AFB">
              <w:rPr>
                <w:rFonts w:ascii="Arial" w:eastAsia="Calibri" w:hAnsi="Arial" w:cs="Arial"/>
                <w:b/>
                <w:sz w:val="24"/>
                <w:szCs w:val="24"/>
                <w:lang w:val="en-US"/>
              </w:rPr>
              <w:t>.</w:t>
            </w:r>
            <w:r w:rsidRPr="00142AFB">
              <w:rPr>
                <w:rFonts w:ascii="Arial" w:eastAsia="Calibri" w:hAnsi="Arial" w:cs="Arial"/>
                <w:sz w:val="24"/>
                <w:szCs w:val="24"/>
                <w:lang w:val="en-US"/>
              </w:rPr>
              <w:t xml:space="preserve"> </w:t>
            </w:r>
            <w:r>
              <w:rPr>
                <w:rFonts w:ascii="Arial" w:eastAsia="Calibri" w:hAnsi="Arial" w:cs="Arial"/>
                <w:sz w:val="24"/>
                <w:szCs w:val="24"/>
                <w:lang w:val="en-US"/>
              </w:rPr>
              <w:t>Prevalence of HIV infection amongst non-meningitis invasive pneumococcal disease (nmIPD) and pneumococcal meningitis (PM) cases from GERMS-SA enhanced surveillance sites by age, 2005-2016, South Africa.</w:t>
            </w:r>
          </w:p>
        </w:tc>
        <w:tc>
          <w:tcPr>
            <w:tcW w:w="567" w:type="dxa"/>
            <w:vAlign w:val="bottom"/>
          </w:tcPr>
          <w:p w14:paraId="41231CCC" w14:textId="689DD0C4" w:rsidR="00057CE4" w:rsidRDefault="00057CE4" w:rsidP="00CE7372">
            <w:pPr>
              <w:jc w:val="right"/>
              <w:rPr>
                <w:rFonts w:ascii="Arial" w:hAnsi="Arial" w:cs="Arial"/>
                <w:sz w:val="24"/>
                <w:szCs w:val="24"/>
              </w:rPr>
            </w:pPr>
            <w:r>
              <w:rPr>
                <w:rFonts w:ascii="Arial" w:hAnsi="Arial" w:cs="Arial"/>
                <w:sz w:val="24"/>
                <w:szCs w:val="24"/>
              </w:rPr>
              <w:t>7</w:t>
            </w:r>
          </w:p>
        </w:tc>
      </w:tr>
      <w:tr w:rsidR="002A4FB6" w:rsidRPr="002A4FB6" w14:paraId="48FE50BE" w14:textId="77777777" w:rsidTr="000F6EBC">
        <w:trPr>
          <w:trHeight w:val="1063"/>
        </w:trPr>
        <w:tc>
          <w:tcPr>
            <w:tcW w:w="8647" w:type="dxa"/>
            <w:vAlign w:val="bottom"/>
          </w:tcPr>
          <w:p w14:paraId="2592161F" w14:textId="7A2F6279" w:rsidR="002A4FB6" w:rsidRPr="002A4FB6" w:rsidRDefault="002A4FB6" w:rsidP="000F6EBC">
            <w:pPr>
              <w:rPr>
                <w:rFonts w:ascii="Arial" w:hAnsi="Arial" w:cs="Arial"/>
                <w:b/>
                <w:sz w:val="24"/>
                <w:szCs w:val="24"/>
              </w:rPr>
            </w:pPr>
            <w:r w:rsidRPr="002A4FB6">
              <w:rPr>
                <w:rStyle w:val="Hyperlink"/>
                <w:rFonts w:ascii="Arial" w:hAnsi="Arial" w:cs="Arial"/>
                <w:b/>
                <w:sz w:val="24"/>
                <w:szCs w:val="24"/>
              </w:rPr>
              <w:t xml:space="preserve">Supplementary Table </w:t>
            </w:r>
            <w:r w:rsidR="000F6EBC">
              <w:rPr>
                <w:rStyle w:val="Hyperlink"/>
                <w:rFonts w:ascii="Arial" w:hAnsi="Arial" w:cs="Arial"/>
                <w:b/>
                <w:sz w:val="24"/>
                <w:szCs w:val="24"/>
              </w:rPr>
              <w:t>5</w:t>
            </w:r>
            <w:r w:rsidRPr="002A4FB6">
              <w:rPr>
                <w:rStyle w:val="Hyperlink"/>
                <w:rFonts w:ascii="Arial" w:hAnsi="Arial" w:cs="Arial"/>
                <w:b/>
                <w:sz w:val="24"/>
                <w:szCs w:val="24"/>
              </w:rPr>
              <w:t xml:space="preserve">. </w:t>
            </w:r>
            <w:r w:rsidRPr="002A4FB6">
              <w:rPr>
                <w:rStyle w:val="Hyperlink"/>
                <w:rFonts w:ascii="Arial" w:hAnsi="Arial" w:cs="Arial"/>
                <w:sz w:val="24"/>
                <w:szCs w:val="24"/>
              </w:rPr>
              <w:t>Comparison of the characteristics of patients with pneumococcal meningitis (PM) and non-meningitis invasive pneumococcal disease (nmIPD) for the pre-PCV period (2005-2008). OR-odds ratio, 95%CI-95% confidence interval……………………………………………………………….</w:t>
            </w:r>
          </w:p>
        </w:tc>
        <w:tc>
          <w:tcPr>
            <w:tcW w:w="567" w:type="dxa"/>
            <w:vAlign w:val="bottom"/>
          </w:tcPr>
          <w:p w14:paraId="706760ED" w14:textId="21DF54FB" w:rsidR="002A4FB6" w:rsidRPr="002A4FB6" w:rsidRDefault="00057CE4" w:rsidP="00CE7372">
            <w:pPr>
              <w:jc w:val="right"/>
              <w:rPr>
                <w:rFonts w:ascii="Arial" w:hAnsi="Arial" w:cs="Arial"/>
                <w:sz w:val="24"/>
                <w:szCs w:val="24"/>
              </w:rPr>
            </w:pPr>
            <w:r>
              <w:rPr>
                <w:rFonts w:ascii="Arial" w:hAnsi="Arial" w:cs="Arial"/>
                <w:sz w:val="24"/>
                <w:szCs w:val="24"/>
              </w:rPr>
              <w:t>8</w:t>
            </w:r>
          </w:p>
        </w:tc>
      </w:tr>
      <w:tr w:rsidR="002A4FB6" w:rsidRPr="002A4FB6" w14:paraId="0ACF0145" w14:textId="77777777" w:rsidTr="000F6EBC">
        <w:tc>
          <w:tcPr>
            <w:tcW w:w="8647" w:type="dxa"/>
            <w:vAlign w:val="bottom"/>
          </w:tcPr>
          <w:p w14:paraId="3F1C39A9" w14:textId="13EB9E52" w:rsidR="002A4FB6" w:rsidRPr="002A4FB6" w:rsidRDefault="002A4FB6" w:rsidP="000F6EBC">
            <w:pPr>
              <w:rPr>
                <w:rStyle w:val="Hyperlink"/>
                <w:rFonts w:ascii="Arial" w:hAnsi="Arial" w:cs="Arial"/>
                <w:b/>
                <w:sz w:val="24"/>
                <w:szCs w:val="24"/>
              </w:rPr>
            </w:pPr>
            <w:r w:rsidRPr="002A4FB6">
              <w:rPr>
                <w:rStyle w:val="Hyperlink"/>
                <w:rFonts w:ascii="Arial" w:hAnsi="Arial" w:cs="Arial"/>
                <w:b/>
                <w:sz w:val="24"/>
                <w:szCs w:val="24"/>
              </w:rPr>
              <w:t xml:space="preserve">Supplementary Table </w:t>
            </w:r>
            <w:r w:rsidR="000F6EBC">
              <w:rPr>
                <w:rStyle w:val="Hyperlink"/>
                <w:rFonts w:ascii="Arial" w:hAnsi="Arial" w:cs="Arial"/>
                <w:b/>
                <w:sz w:val="24"/>
                <w:szCs w:val="24"/>
              </w:rPr>
              <w:t>6</w:t>
            </w:r>
            <w:r w:rsidRPr="002A4FB6">
              <w:rPr>
                <w:rStyle w:val="Hyperlink"/>
                <w:rFonts w:ascii="Arial" w:hAnsi="Arial" w:cs="Arial"/>
                <w:b/>
                <w:sz w:val="24"/>
                <w:szCs w:val="24"/>
              </w:rPr>
              <w:t xml:space="preserve">. </w:t>
            </w:r>
            <w:r w:rsidRPr="002A4FB6">
              <w:rPr>
                <w:rStyle w:val="Hyperlink"/>
                <w:rFonts w:ascii="Arial" w:hAnsi="Arial" w:cs="Arial"/>
                <w:sz w:val="24"/>
                <w:szCs w:val="24"/>
              </w:rPr>
              <w:t xml:space="preserve">Comparison of the characteristics of patients with pneumococcal </w:t>
            </w:r>
            <w:r w:rsidR="004D79A3" w:rsidRPr="002A4FB6">
              <w:rPr>
                <w:rStyle w:val="Hyperlink"/>
                <w:rFonts w:ascii="Arial" w:hAnsi="Arial" w:cs="Arial"/>
                <w:sz w:val="24"/>
                <w:szCs w:val="24"/>
              </w:rPr>
              <w:t>meningitis</w:t>
            </w:r>
            <w:r w:rsidRPr="002A4FB6">
              <w:rPr>
                <w:rStyle w:val="Hyperlink"/>
                <w:rFonts w:ascii="Arial" w:hAnsi="Arial" w:cs="Arial"/>
                <w:sz w:val="24"/>
                <w:szCs w:val="24"/>
              </w:rPr>
              <w:t xml:space="preserve"> (PM) and non-meningitis invasive pneumococcal disease (nmIPD) for the post-PCV period (2013-2016). OR-odds ratio, 95%CI-95% confidence interval</w:t>
            </w:r>
            <w:r>
              <w:rPr>
                <w:rStyle w:val="Hyperlink"/>
                <w:rFonts w:ascii="Arial" w:hAnsi="Arial" w:cs="Arial"/>
                <w:sz w:val="24"/>
                <w:szCs w:val="24"/>
              </w:rPr>
              <w:t>……………………………………………………………….</w:t>
            </w:r>
          </w:p>
        </w:tc>
        <w:tc>
          <w:tcPr>
            <w:tcW w:w="567" w:type="dxa"/>
            <w:vAlign w:val="bottom"/>
          </w:tcPr>
          <w:p w14:paraId="38DCD473" w14:textId="2E26CA7E" w:rsidR="002A4FB6" w:rsidRPr="002A4FB6" w:rsidRDefault="00057CE4" w:rsidP="00CE7372">
            <w:pPr>
              <w:jc w:val="right"/>
              <w:rPr>
                <w:rFonts w:ascii="Arial" w:hAnsi="Arial" w:cs="Arial"/>
                <w:sz w:val="24"/>
                <w:szCs w:val="24"/>
              </w:rPr>
            </w:pPr>
            <w:r>
              <w:rPr>
                <w:rFonts w:ascii="Arial" w:hAnsi="Arial" w:cs="Arial"/>
                <w:sz w:val="24"/>
                <w:szCs w:val="24"/>
              </w:rPr>
              <w:t>10</w:t>
            </w:r>
          </w:p>
        </w:tc>
      </w:tr>
      <w:tr w:rsidR="002A4FB6" w:rsidRPr="002A4FB6" w14:paraId="137AA38F" w14:textId="77777777" w:rsidTr="000F6EBC">
        <w:trPr>
          <w:trHeight w:val="235"/>
        </w:trPr>
        <w:tc>
          <w:tcPr>
            <w:tcW w:w="8647" w:type="dxa"/>
            <w:vAlign w:val="bottom"/>
          </w:tcPr>
          <w:p w14:paraId="2D9459CA" w14:textId="06D2062B" w:rsidR="002A4FB6" w:rsidRPr="002A4FB6" w:rsidRDefault="002A4FB6" w:rsidP="002A4FB6">
            <w:pPr>
              <w:rPr>
                <w:rStyle w:val="Hyperlink"/>
                <w:rFonts w:ascii="Arial" w:hAnsi="Arial" w:cs="Arial"/>
                <w:b/>
                <w:sz w:val="24"/>
                <w:szCs w:val="24"/>
              </w:rPr>
            </w:pPr>
            <w:r w:rsidRPr="002A4FB6">
              <w:rPr>
                <w:rFonts w:ascii="Arial" w:hAnsi="Arial" w:cs="Arial"/>
                <w:sz w:val="24"/>
                <w:szCs w:val="24"/>
              </w:rPr>
              <w:t>List of GERMS-SA collaborators 2005-2016</w:t>
            </w:r>
            <w:r>
              <w:rPr>
                <w:rFonts w:ascii="Arial" w:hAnsi="Arial" w:cs="Arial"/>
                <w:sz w:val="24"/>
                <w:szCs w:val="24"/>
              </w:rPr>
              <w:t>.……………………………………….</w:t>
            </w:r>
          </w:p>
        </w:tc>
        <w:tc>
          <w:tcPr>
            <w:tcW w:w="567" w:type="dxa"/>
            <w:vAlign w:val="bottom"/>
          </w:tcPr>
          <w:p w14:paraId="2F455FD8" w14:textId="572C76BA" w:rsidR="002A4FB6" w:rsidRPr="002A4FB6" w:rsidRDefault="007F2A9A" w:rsidP="00057CE4">
            <w:pPr>
              <w:jc w:val="right"/>
              <w:rPr>
                <w:rFonts w:ascii="Arial" w:hAnsi="Arial" w:cs="Arial"/>
                <w:sz w:val="24"/>
                <w:szCs w:val="24"/>
              </w:rPr>
            </w:pPr>
            <w:r>
              <w:rPr>
                <w:rFonts w:ascii="Arial" w:hAnsi="Arial" w:cs="Arial"/>
                <w:sz w:val="24"/>
                <w:szCs w:val="24"/>
              </w:rPr>
              <w:t>1</w:t>
            </w:r>
            <w:r w:rsidR="00057CE4">
              <w:rPr>
                <w:rFonts w:ascii="Arial" w:hAnsi="Arial" w:cs="Arial"/>
                <w:sz w:val="24"/>
                <w:szCs w:val="24"/>
              </w:rPr>
              <w:t>2</w:t>
            </w:r>
          </w:p>
        </w:tc>
      </w:tr>
    </w:tbl>
    <w:p w14:paraId="10A70F64" w14:textId="77777777" w:rsidR="002A4FB6" w:rsidRPr="00881F21" w:rsidRDefault="002A4FB6" w:rsidP="00881F21">
      <w:pPr>
        <w:spacing w:line="480" w:lineRule="auto"/>
        <w:jc w:val="both"/>
        <w:rPr>
          <w:rFonts w:ascii="Arial" w:hAnsi="Arial" w:cs="Arial"/>
          <w:b/>
          <w:sz w:val="24"/>
        </w:rPr>
        <w:sectPr w:rsidR="002A4FB6" w:rsidRPr="00881F21">
          <w:footerReference w:type="default" r:id="rId7"/>
          <w:pgSz w:w="11906" w:h="16838"/>
          <w:pgMar w:top="1440" w:right="1440" w:bottom="1440" w:left="1440" w:header="708" w:footer="708" w:gutter="0"/>
          <w:cols w:space="708"/>
          <w:docGrid w:linePitch="360"/>
        </w:sectPr>
      </w:pPr>
    </w:p>
    <w:p w14:paraId="047D0F72" w14:textId="77777777" w:rsidR="00197EB2" w:rsidRDefault="007F2A9A" w:rsidP="00197EB2">
      <w:pPr>
        <w:rPr>
          <w:rStyle w:val="Hyperlink"/>
          <w:rFonts w:ascii="Arial" w:hAnsi="Arial" w:cs="Arial"/>
          <w:b/>
          <w:sz w:val="24"/>
          <w:szCs w:val="24"/>
        </w:rPr>
      </w:pPr>
      <w:r>
        <w:rPr>
          <w:rStyle w:val="Hyperlink"/>
          <w:rFonts w:ascii="Arial" w:hAnsi="Arial" w:cs="Arial"/>
          <w:b/>
          <w:noProof/>
          <w:sz w:val="24"/>
          <w:szCs w:val="24"/>
          <w:lang w:val="en-GB" w:eastAsia="en-GB"/>
        </w:rPr>
        <w:lastRenderedPageBreak/>
        <w:drawing>
          <wp:inline distT="0" distB="0" distL="0" distR="0" wp14:anchorId="1F5B22C6" wp14:editId="2558C488">
            <wp:extent cx="3812970" cy="6480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2970" cy="6480000"/>
                    </a:xfrm>
                    <a:prstGeom prst="rect">
                      <a:avLst/>
                    </a:prstGeom>
                    <a:noFill/>
                    <a:ln>
                      <a:noFill/>
                    </a:ln>
                  </pic:spPr>
                </pic:pic>
              </a:graphicData>
            </a:graphic>
          </wp:inline>
        </w:drawing>
      </w:r>
      <w:r w:rsidR="00197EB2" w:rsidRPr="00197EB2">
        <w:rPr>
          <w:rStyle w:val="Hyperlink"/>
          <w:rFonts w:ascii="Arial" w:hAnsi="Arial" w:cs="Arial"/>
          <w:b/>
          <w:sz w:val="24"/>
          <w:szCs w:val="24"/>
        </w:rPr>
        <w:t xml:space="preserve"> </w:t>
      </w:r>
    </w:p>
    <w:p w14:paraId="76D59B19" w14:textId="2A1A7A96" w:rsidR="00197EB2" w:rsidRDefault="00197EB2" w:rsidP="00197EB2">
      <w:pPr>
        <w:rPr>
          <w:rStyle w:val="Hyperlink"/>
          <w:rFonts w:ascii="Arial" w:hAnsi="Arial" w:cs="Arial"/>
          <w:sz w:val="24"/>
          <w:szCs w:val="24"/>
        </w:rPr>
      </w:pPr>
      <w:r>
        <w:rPr>
          <w:rStyle w:val="Hyperlink"/>
          <w:rFonts w:ascii="Arial" w:hAnsi="Arial" w:cs="Arial"/>
          <w:b/>
          <w:sz w:val="24"/>
          <w:szCs w:val="24"/>
        </w:rPr>
        <w:t xml:space="preserve">Supplementary Figure 1. </w:t>
      </w:r>
      <w:r w:rsidRPr="007F2A9A">
        <w:rPr>
          <w:rStyle w:val="Hyperlink"/>
          <w:rFonts w:ascii="Arial" w:hAnsi="Arial" w:cs="Arial"/>
          <w:sz w:val="24"/>
          <w:szCs w:val="24"/>
        </w:rPr>
        <w:t>Trend</w:t>
      </w:r>
      <w:r>
        <w:rPr>
          <w:rStyle w:val="Hyperlink"/>
          <w:rFonts w:ascii="Arial" w:hAnsi="Arial" w:cs="Arial"/>
          <w:sz w:val="24"/>
          <w:szCs w:val="24"/>
        </w:rPr>
        <w:t>s</w:t>
      </w:r>
      <w:r w:rsidRPr="007F2A9A">
        <w:rPr>
          <w:rStyle w:val="Hyperlink"/>
          <w:rFonts w:ascii="Arial" w:hAnsi="Arial" w:cs="Arial"/>
          <w:sz w:val="24"/>
          <w:szCs w:val="24"/>
        </w:rPr>
        <w:t xml:space="preserve"> of invasive pneumococcal disease (IPD) incidence from 2005 – 2016, by specimen type used for diagnosis, South Africa.</w:t>
      </w:r>
      <w:r>
        <w:rPr>
          <w:rStyle w:val="Hyperlink"/>
          <w:rFonts w:ascii="Arial" w:hAnsi="Arial" w:cs="Arial"/>
          <w:sz w:val="24"/>
          <w:szCs w:val="24"/>
        </w:rPr>
        <w:t xml:space="preserve"> A) In all ages, B) in those &lt;5 years old, and C) in those ≥5 years old.</w:t>
      </w:r>
    </w:p>
    <w:p w14:paraId="179B1346" w14:textId="6D359F13" w:rsidR="007F2A9A" w:rsidRDefault="007F2A9A">
      <w:pPr>
        <w:rPr>
          <w:rStyle w:val="Hyperlink"/>
          <w:rFonts w:ascii="Arial" w:hAnsi="Arial" w:cs="Arial"/>
          <w:b/>
          <w:sz w:val="24"/>
          <w:szCs w:val="24"/>
        </w:rPr>
      </w:pPr>
    </w:p>
    <w:p w14:paraId="1EE15512" w14:textId="0B8F33C5" w:rsidR="007F2A9A" w:rsidRDefault="007F2A9A">
      <w:pPr>
        <w:rPr>
          <w:rStyle w:val="Hyperlink"/>
          <w:rFonts w:ascii="Arial" w:hAnsi="Arial" w:cs="Arial"/>
          <w:b/>
          <w:sz w:val="24"/>
          <w:szCs w:val="24"/>
        </w:rPr>
      </w:pPr>
    </w:p>
    <w:p w14:paraId="585529A1" w14:textId="11A20B09" w:rsidR="007F2A9A" w:rsidRDefault="007F2A9A">
      <w:pPr>
        <w:rPr>
          <w:rStyle w:val="Hyperlink"/>
          <w:rFonts w:ascii="Arial" w:hAnsi="Arial" w:cs="Arial"/>
          <w:b/>
          <w:sz w:val="24"/>
          <w:szCs w:val="24"/>
        </w:rPr>
      </w:pPr>
      <w:r>
        <w:rPr>
          <w:rStyle w:val="Hyperlink"/>
          <w:rFonts w:ascii="Arial" w:hAnsi="Arial" w:cs="Arial"/>
          <w:b/>
          <w:sz w:val="24"/>
          <w:szCs w:val="24"/>
        </w:rPr>
        <w:br w:type="page"/>
      </w:r>
    </w:p>
    <w:p w14:paraId="0DC8F083" w14:textId="1C7890BB" w:rsidR="000F6EBC" w:rsidRPr="000F6EBC" w:rsidRDefault="000F6EBC" w:rsidP="000F6EBC">
      <w:pPr>
        <w:spacing w:line="480" w:lineRule="auto"/>
        <w:jc w:val="both"/>
        <w:rPr>
          <w:rFonts w:ascii="Arial" w:eastAsia="Calibri" w:hAnsi="Arial" w:cs="Arial"/>
          <w:sz w:val="24"/>
          <w:szCs w:val="24"/>
          <w:lang w:val="en-US"/>
        </w:rPr>
      </w:pPr>
      <w:r w:rsidRPr="002A4FB6">
        <w:rPr>
          <w:rStyle w:val="Hyperlink"/>
          <w:rFonts w:ascii="Arial" w:hAnsi="Arial" w:cs="Arial"/>
          <w:b/>
          <w:sz w:val="24"/>
          <w:szCs w:val="24"/>
        </w:rPr>
        <w:lastRenderedPageBreak/>
        <w:t>Supplementary</w:t>
      </w:r>
      <w:r w:rsidRPr="000F6EBC">
        <w:rPr>
          <w:rFonts w:ascii="Arial" w:eastAsia="Calibri" w:hAnsi="Arial" w:cs="Arial"/>
          <w:b/>
          <w:sz w:val="24"/>
          <w:szCs w:val="24"/>
          <w:lang w:val="en-US"/>
        </w:rPr>
        <w:t xml:space="preserve"> Table 1.</w:t>
      </w:r>
      <w:r w:rsidRPr="000F6EBC">
        <w:rPr>
          <w:rFonts w:ascii="Arial" w:eastAsia="Calibri" w:hAnsi="Arial" w:cs="Arial"/>
          <w:sz w:val="24"/>
          <w:szCs w:val="24"/>
          <w:lang w:val="en-US"/>
        </w:rPr>
        <w:t xml:space="preserve"> Percentage difference in rates of total invasive pneumococcal disease (tIPD) and pneumococcal meningitis (PM) between 2005-2008 (pre-PCV introduction) and 2012 (post-PCV introduction) and percentage effect difference in rate changes between 2005-2008 and 2012 for PM compared to tIPD, South Africa, 2005-2012</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21"/>
        <w:gridCol w:w="1922"/>
        <w:gridCol w:w="1922"/>
      </w:tblGrid>
      <w:tr w:rsidR="000F6EBC" w:rsidRPr="000F6EBC" w14:paraId="1EDBE4CF" w14:textId="77777777" w:rsidTr="00DE007A">
        <w:tc>
          <w:tcPr>
            <w:tcW w:w="3261" w:type="dxa"/>
            <w:tcBorders>
              <w:top w:val="single" w:sz="4" w:space="0" w:color="auto"/>
              <w:bottom w:val="single" w:sz="4" w:space="0" w:color="auto"/>
            </w:tcBorders>
            <w:vAlign w:val="center"/>
          </w:tcPr>
          <w:p w14:paraId="70BF94F3" w14:textId="77777777" w:rsidR="000F6EBC" w:rsidRPr="000F6EBC" w:rsidRDefault="000F6EBC" w:rsidP="000F6EBC">
            <w:pPr>
              <w:jc w:val="center"/>
              <w:rPr>
                <w:rFonts w:ascii="Arial" w:eastAsia="Calibri" w:hAnsi="Arial" w:cs="Arial"/>
                <w:b/>
                <w:sz w:val="18"/>
                <w:szCs w:val="18"/>
              </w:rPr>
            </w:pPr>
            <w:r w:rsidRPr="000F6EBC">
              <w:rPr>
                <w:rFonts w:ascii="Arial" w:eastAsia="Calibri" w:hAnsi="Arial" w:cs="Arial"/>
                <w:b/>
                <w:sz w:val="18"/>
                <w:szCs w:val="18"/>
              </w:rPr>
              <w:t>Serotype groups</w:t>
            </w:r>
          </w:p>
        </w:tc>
        <w:tc>
          <w:tcPr>
            <w:tcW w:w="1921" w:type="dxa"/>
            <w:tcBorders>
              <w:top w:val="single" w:sz="4" w:space="0" w:color="auto"/>
              <w:bottom w:val="single" w:sz="4" w:space="0" w:color="auto"/>
            </w:tcBorders>
            <w:vAlign w:val="center"/>
          </w:tcPr>
          <w:p w14:paraId="00C2136F" w14:textId="77777777" w:rsidR="000F6EBC" w:rsidRPr="000F6EBC" w:rsidRDefault="000F6EBC" w:rsidP="000F6EBC">
            <w:pPr>
              <w:jc w:val="center"/>
              <w:rPr>
                <w:rFonts w:ascii="Arial" w:eastAsia="Calibri" w:hAnsi="Arial" w:cs="Arial"/>
                <w:b/>
                <w:sz w:val="18"/>
                <w:szCs w:val="18"/>
              </w:rPr>
            </w:pPr>
            <w:r w:rsidRPr="000F6EBC">
              <w:rPr>
                <w:rFonts w:ascii="Arial" w:eastAsia="Calibri" w:hAnsi="Arial" w:cs="Arial"/>
                <w:b/>
                <w:sz w:val="18"/>
                <w:szCs w:val="18"/>
              </w:rPr>
              <w:t>tIPD % difference</w:t>
            </w:r>
          </w:p>
          <w:p w14:paraId="30704531" w14:textId="77777777" w:rsidR="000F6EBC" w:rsidRPr="000F6EBC" w:rsidRDefault="000F6EBC" w:rsidP="000F6EBC">
            <w:pPr>
              <w:jc w:val="center"/>
              <w:rPr>
                <w:rFonts w:ascii="Arial" w:eastAsia="Calibri" w:hAnsi="Arial" w:cs="Arial"/>
                <w:b/>
                <w:sz w:val="18"/>
                <w:szCs w:val="18"/>
              </w:rPr>
            </w:pPr>
            <w:r w:rsidRPr="000F6EBC">
              <w:rPr>
                <w:rFonts w:ascii="Arial" w:eastAsia="Calibri" w:hAnsi="Arial" w:cs="Arial"/>
                <w:b/>
                <w:sz w:val="18"/>
                <w:szCs w:val="18"/>
              </w:rPr>
              <w:t>(95% CI)</w:t>
            </w:r>
          </w:p>
        </w:tc>
        <w:tc>
          <w:tcPr>
            <w:tcW w:w="1922" w:type="dxa"/>
            <w:tcBorders>
              <w:top w:val="single" w:sz="4" w:space="0" w:color="auto"/>
              <w:bottom w:val="single" w:sz="4" w:space="0" w:color="auto"/>
            </w:tcBorders>
            <w:vAlign w:val="center"/>
          </w:tcPr>
          <w:p w14:paraId="5E1B47A9" w14:textId="77777777" w:rsidR="000F6EBC" w:rsidRPr="000F6EBC" w:rsidRDefault="000F6EBC" w:rsidP="000F6EBC">
            <w:pPr>
              <w:jc w:val="center"/>
              <w:rPr>
                <w:rFonts w:ascii="Arial" w:eastAsia="Calibri" w:hAnsi="Arial" w:cs="Arial"/>
                <w:b/>
                <w:sz w:val="18"/>
                <w:szCs w:val="18"/>
              </w:rPr>
            </w:pPr>
            <w:r w:rsidRPr="000F6EBC">
              <w:rPr>
                <w:rFonts w:ascii="Arial" w:eastAsia="Calibri" w:hAnsi="Arial" w:cs="Arial"/>
                <w:b/>
                <w:sz w:val="18"/>
                <w:szCs w:val="18"/>
              </w:rPr>
              <w:t>PM % difference</w:t>
            </w:r>
          </w:p>
          <w:p w14:paraId="57990216" w14:textId="77777777" w:rsidR="000F6EBC" w:rsidRPr="000F6EBC" w:rsidRDefault="000F6EBC" w:rsidP="000F6EBC">
            <w:pPr>
              <w:jc w:val="center"/>
              <w:rPr>
                <w:rFonts w:ascii="Arial" w:eastAsia="Calibri" w:hAnsi="Arial" w:cs="Arial"/>
                <w:b/>
                <w:sz w:val="18"/>
                <w:szCs w:val="18"/>
              </w:rPr>
            </w:pPr>
            <w:r w:rsidRPr="000F6EBC">
              <w:rPr>
                <w:rFonts w:ascii="Arial" w:eastAsia="Calibri" w:hAnsi="Arial" w:cs="Arial"/>
                <w:b/>
                <w:sz w:val="18"/>
                <w:szCs w:val="18"/>
              </w:rPr>
              <w:t>(95% CI)</w:t>
            </w:r>
          </w:p>
        </w:tc>
        <w:tc>
          <w:tcPr>
            <w:tcW w:w="1922" w:type="dxa"/>
            <w:tcBorders>
              <w:top w:val="single" w:sz="4" w:space="0" w:color="auto"/>
              <w:bottom w:val="single" w:sz="4" w:space="0" w:color="auto"/>
            </w:tcBorders>
            <w:vAlign w:val="center"/>
          </w:tcPr>
          <w:p w14:paraId="23F1E680" w14:textId="77777777" w:rsidR="000F6EBC" w:rsidRPr="000F6EBC" w:rsidRDefault="000F6EBC" w:rsidP="000F6EBC">
            <w:pPr>
              <w:jc w:val="center"/>
              <w:rPr>
                <w:rFonts w:ascii="Arial" w:eastAsia="Calibri" w:hAnsi="Arial" w:cs="Arial"/>
                <w:b/>
                <w:sz w:val="18"/>
                <w:szCs w:val="18"/>
              </w:rPr>
            </w:pPr>
            <w:r w:rsidRPr="000F6EBC">
              <w:rPr>
                <w:rFonts w:ascii="Arial" w:eastAsia="Calibri" w:hAnsi="Arial" w:cs="Arial"/>
                <w:b/>
                <w:sz w:val="18"/>
                <w:szCs w:val="18"/>
              </w:rPr>
              <w:t>% effect difference</w:t>
            </w:r>
          </w:p>
          <w:p w14:paraId="1224948B" w14:textId="77777777" w:rsidR="000F6EBC" w:rsidRPr="000F6EBC" w:rsidRDefault="000F6EBC" w:rsidP="000F6EBC">
            <w:pPr>
              <w:jc w:val="center"/>
              <w:rPr>
                <w:rFonts w:ascii="Arial" w:eastAsia="Calibri" w:hAnsi="Arial" w:cs="Arial"/>
                <w:b/>
                <w:sz w:val="18"/>
                <w:szCs w:val="18"/>
              </w:rPr>
            </w:pPr>
            <w:r w:rsidRPr="000F6EBC">
              <w:rPr>
                <w:rFonts w:ascii="Arial" w:eastAsia="Calibri" w:hAnsi="Arial" w:cs="Arial"/>
                <w:b/>
                <w:sz w:val="18"/>
                <w:szCs w:val="18"/>
              </w:rPr>
              <w:t>PM vs. tIPD</w:t>
            </w:r>
            <w:r w:rsidRPr="000F6EBC">
              <w:rPr>
                <w:rFonts w:ascii="Arial" w:eastAsia="Calibri" w:hAnsi="Arial" w:cs="Arial"/>
                <w:b/>
                <w:sz w:val="18"/>
                <w:szCs w:val="18"/>
                <w:vertAlign w:val="superscript"/>
              </w:rPr>
              <w:t>a</w:t>
            </w:r>
          </w:p>
          <w:p w14:paraId="20635C62" w14:textId="77777777" w:rsidR="000F6EBC" w:rsidRPr="000F6EBC" w:rsidRDefault="000F6EBC" w:rsidP="000F6EBC">
            <w:pPr>
              <w:jc w:val="center"/>
              <w:rPr>
                <w:rFonts w:ascii="Arial" w:eastAsia="Calibri" w:hAnsi="Arial" w:cs="Arial"/>
                <w:b/>
                <w:sz w:val="18"/>
                <w:szCs w:val="18"/>
              </w:rPr>
            </w:pPr>
            <w:r w:rsidRPr="000F6EBC">
              <w:rPr>
                <w:rFonts w:ascii="Arial" w:eastAsia="Calibri" w:hAnsi="Arial" w:cs="Arial"/>
                <w:b/>
                <w:sz w:val="18"/>
                <w:szCs w:val="18"/>
              </w:rPr>
              <w:t>(p value)</w:t>
            </w:r>
          </w:p>
        </w:tc>
      </w:tr>
      <w:tr w:rsidR="000F6EBC" w:rsidRPr="000F6EBC" w14:paraId="27FBDBDF" w14:textId="77777777" w:rsidTr="00DE007A">
        <w:tc>
          <w:tcPr>
            <w:tcW w:w="9026" w:type="dxa"/>
            <w:gridSpan w:val="4"/>
            <w:tcBorders>
              <w:top w:val="single" w:sz="4" w:space="0" w:color="auto"/>
              <w:bottom w:val="single" w:sz="4" w:space="0" w:color="auto"/>
            </w:tcBorders>
          </w:tcPr>
          <w:p w14:paraId="74E59E6E" w14:textId="77777777" w:rsidR="000F6EBC" w:rsidRPr="000F6EBC" w:rsidRDefault="000F6EBC" w:rsidP="000F6EBC">
            <w:pPr>
              <w:rPr>
                <w:rFonts w:ascii="Arial" w:eastAsia="Calibri" w:hAnsi="Arial" w:cs="Arial"/>
                <w:b/>
                <w:sz w:val="18"/>
                <w:szCs w:val="18"/>
              </w:rPr>
            </w:pPr>
            <w:r w:rsidRPr="000F6EBC">
              <w:rPr>
                <w:rFonts w:ascii="Arial" w:eastAsia="Calibri" w:hAnsi="Arial" w:cs="Arial"/>
                <w:b/>
                <w:sz w:val="18"/>
                <w:szCs w:val="18"/>
              </w:rPr>
              <w:t>Children aged &lt;5 years</w:t>
            </w:r>
          </w:p>
        </w:tc>
      </w:tr>
      <w:tr w:rsidR="000F6EBC" w:rsidRPr="000F6EBC" w14:paraId="0342111F" w14:textId="77777777" w:rsidTr="00DE007A">
        <w:tc>
          <w:tcPr>
            <w:tcW w:w="3261" w:type="dxa"/>
            <w:tcBorders>
              <w:top w:val="single" w:sz="4" w:space="0" w:color="auto"/>
            </w:tcBorders>
            <w:shd w:val="clear" w:color="auto" w:fill="F2F2F2"/>
          </w:tcPr>
          <w:p w14:paraId="042EC1DF" w14:textId="77777777" w:rsidR="000F6EBC" w:rsidRPr="000F6EBC" w:rsidRDefault="000F6EBC" w:rsidP="000F6EBC">
            <w:pPr>
              <w:rPr>
                <w:rFonts w:ascii="Arial" w:eastAsia="Calibri" w:hAnsi="Arial" w:cs="Arial"/>
                <w:sz w:val="18"/>
                <w:szCs w:val="18"/>
              </w:rPr>
            </w:pPr>
            <w:r w:rsidRPr="000F6EBC">
              <w:rPr>
                <w:rFonts w:ascii="Arial" w:eastAsia="Calibri" w:hAnsi="Arial" w:cs="Arial"/>
                <w:sz w:val="18"/>
                <w:szCs w:val="18"/>
              </w:rPr>
              <w:t xml:space="preserve">    PCV7 serotypes</w:t>
            </w:r>
          </w:p>
        </w:tc>
        <w:tc>
          <w:tcPr>
            <w:tcW w:w="1921" w:type="dxa"/>
            <w:tcBorders>
              <w:top w:val="single" w:sz="4" w:space="0" w:color="auto"/>
            </w:tcBorders>
            <w:shd w:val="clear" w:color="auto" w:fill="F2F2F2"/>
          </w:tcPr>
          <w:p w14:paraId="10D042E9" w14:textId="77777777" w:rsidR="000F6EBC" w:rsidRPr="000F6EBC" w:rsidRDefault="000F6EBC" w:rsidP="000F6EBC">
            <w:pPr>
              <w:jc w:val="center"/>
              <w:rPr>
                <w:rFonts w:ascii="Arial" w:eastAsia="Calibri" w:hAnsi="Arial" w:cs="Arial"/>
                <w:sz w:val="18"/>
                <w:szCs w:val="18"/>
              </w:rPr>
            </w:pPr>
            <w:r w:rsidRPr="000F6EBC">
              <w:rPr>
                <w:rFonts w:ascii="Arial" w:eastAsia="Times New Roman" w:hAnsi="Arial" w:cs="Arial"/>
                <w:b/>
                <w:bCs/>
                <w:color w:val="000000"/>
                <w:sz w:val="18"/>
                <w:szCs w:val="18"/>
                <w:lang w:eastAsia="en-ZA"/>
              </w:rPr>
              <w:t>-88.4 (-90.3 to -86.0)</w:t>
            </w:r>
          </w:p>
        </w:tc>
        <w:tc>
          <w:tcPr>
            <w:tcW w:w="1922" w:type="dxa"/>
            <w:tcBorders>
              <w:top w:val="single" w:sz="4" w:space="0" w:color="auto"/>
            </w:tcBorders>
            <w:shd w:val="clear" w:color="auto" w:fill="F2F2F2"/>
            <w:vAlign w:val="bottom"/>
          </w:tcPr>
          <w:p w14:paraId="20A38F48" w14:textId="77777777" w:rsidR="000F6EBC" w:rsidRPr="000F6EBC" w:rsidRDefault="000F6EBC" w:rsidP="000F6EBC">
            <w:pPr>
              <w:jc w:val="center"/>
              <w:rPr>
                <w:rFonts w:ascii="Arial" w:eastAsia="Times New Roman" w:hAnsi="Arial" w:cs="Arial"/>
                <w:b/>
                <w:color w:val="000000"/>
                <w:sz w:val="18"/>
                <w:szCs w:val="18"/>
                <w:lang w:eastAsia="en-ZA"/>
              </w:rPr>
            </w:pPr>
            <w:r w:rsidRPr="000F6EBC">
              <w:rPr>
                <w:rFonts w:ascii="Arial" w:eastAsia="Times New Roman" w:hAnsi="Arial" w:cs="Arial"/>
                <w:b/>
                <w:color w:val="000000"/>
                <w:sz w:val="18"/>
                <w:szCs w:val="18"/>
                <w:lang w:eastAsia="en-ZA"/>
              </w:rPr>
              <w:t>-89.9 (-92.8 to -85.8)</w:t>
            </w:r>
          </w:p>
        </w:tc>
        <w:tc>
          <w:tcPr>
            <w:tcW w:w="1922" w:type="dxa"/>
            <w:tcBorders>
              <w:top w:val="single" w:sz="4" w:space="0" w:color="auto"/>
            </w:tcBorders>
            <w:shd w:val="clear" w:color="auto" w:fill="F2F2F2"/>
            <w:vAlign w:val="bottom"/>
          </w:tcPr>
          <w:p w14:paraId="3DBC7E32" w14:textId="662B5ED5" w:rsidR="000F6EBC" w:rsidRPr="000F6EBC" w:rsidRDefault="000F6EBC" w:rsidP="00EF0307">
            <w:pPr>
              <w:jc w:val="center"/>
              <w:rPr>
                <w:rFonts w:ascii="Arial" w:eastAsia="Times New Roman" w:hAnsi="Arial" w:cs="Arial"/>
                <w:bCs/>
                <w:color w:val="000000"/>
                <w:sz w:val="18"/>
                <w:szCs w:val="18"/>
                <w:lang w:eastAsia="en-ZA"/>
              </w:rPr>
            </w:pPr>
            <w:r w:rsidRPr="000F6EBC">
              <w:rPr>
                <w:rFonts w:ascii="Arial" w:eastAsia="Times New Roman" w:hAnsi="Arial" w:cs="Arial"/>
                <w:bCs/>
                <w:color w:val="000000"/>
                <w:sz w:val="18"/>
                <w:szCs w:val="18"/>
                <w:lang w:eastAsia="en-ZA"/>
              </w:rPr>
              <w:t>-12.8 (0.4</w:t>
            </w:r>
            <w:r w:rsidR="00EF0307">
              <w:rPr>
                <w:rFonts w:ascii="Arial" w:eastAsia="Times New Roman" w:hAnsi="Arial" w:cs="Arial"/>
                <w:bCs/>
                <w:color w:val="000000"/>
                <w:sz w:val="18"/>
                <w:szCs w:val="18"/>
                <w:lang w:eastAsia="en-ZA"/>
              </w:rPr>
              <w:t>9</w:t>
            </w:r>
            <w:r w:rsidRPr="000F6EBC">
              <w:rPr>
                <w:rFonts w:ascii="Arial" w:eastAsia="Times New Roman" w:hAnsi="Arial" w:cs="Arial"/>
                <w:bCs/>
                <w:color w:val="000000"/>
                <w:sz w:val="18"/>
                <w:szCs w:val="18"/>
                <w:lang w:eastAsia="en-ZA"/>
              </w:rPr>
              <w:t>)</w:t>
            </w:r>
          </w:p>
        </w:tc>
      </w:tr>
      <w:tr w:rsidR="000F6EBC" w:rsidRPr="000F6EBC" w14:paraId="2F048075" w14:textId="77777777" w:rsidTr="00DE007A">
        <w:tc>
          <w:tcPr>
            <w:tcW w:w="3261" w:type="dxa"/>
          </w:tcPr>
          <w:p w14:paraId="18977448" w14:textId="77777777" w:rsidR="000F6EBC" w:rsidRPr="000F6EBC" w:rsidRDefault="000F6EBC" w:rsidP="000F6EBC">
            <w:pPr>
              <w:rPr>
                <w:rFonts w:ascii="Arial" w:eastAsia="Calibri" w:hAnsi="Arial" w:cs="Arial"/>
                <w:sz w:val="18"/>
                <w:szCs w:val="18"/>
              </w:rPr>
            </w:pPr>
            <w:r w:rsidRPr="000F6EBC">
              <w:rPr>
                <w:rFonts w:ascii="Arial" w:eastAsia="Calibri" w:hAnsi="Arial" w:cs="Arial"/>
                <w:sz w:val="18"/>
                <w:szCs w:val="18"/>
              </w:rPr>
              <w:t xml:space="preserve">    Additional PCV13 serotypes</w:t>
            </w:r>
          </w:p>
        </w:tc>
        <w:tc>
          <w:tcPr>
            <w:tcW w:w="1921" w:type="dxa"/>
          </w:tcPr>
          <w:p w14:paraId="0554B379" w14:textId="77777777" w:rsidR="000F6EBC" w:rsidRPr="000F6EBC" w:rsidRDefault="000F6EBC" w:rsidP="000F6EBC">
            <w:pPr>
              <w:jc w:val="center"/>
              <w:rPr>
                <w:rFonts w:ascii="Arial" w:eastAsia="Calibri" w:hAnsi="Arial" w:cs="Arial"/>
                <w:sz w:val="18"/>
                <w:szCs w:val="18"/>
              </w:rPr>
            </w:pPr>
            <w:r w:rsidRPr="000F6EBC">
              <w:rPr>
                <w:rFonts w:ascii="Arial" w:eastAsia="Calibri" w:hAnsi="Arial" w:cs="Arial"/>
                <w:b/>
                <w:bCs/>
                <w:color w:val="000000"/>
                <w:sz w:val="18"/>
              </w:rPr>
              <w:t>-66.2 (-71.3 to -60.1)</w:t>
            </w:r>
          </w:p>
        </w:tc>
        <w:tc>
          <w:tcPr>
            <w:tcW w:w="1922" w:type="dxa"/>
            <w:vAlign w:val="bottom"/>
          </w:tcPr>
          <w:p w14:paraId="1D75CDC0" w14:textId="77777777" w:rsidR="000F6EBC" w:rsidRPr="000F6EBC" w:rsidRDefault="000F6EBC" w:rsidP="000F6EBC">
            <w:pPr>
              <w:jc w:val="center"/>
              <w:rPr>
                <w:rFonts w:ascii="Arial" w:eastAsia="Times New Roman" w:hAnsi="Arial" w:cs="Arial"/>
                <w:b/>
                <w:bCs/>
                <w:color w:val="000000"/>
                <w:sz w:val="18"/>
                <w:szCs w:val="18"/>
                <w:lang w:eastAsia="en-ZA"/>
              </w:rPr>
            </w:pPr>
            <w:r w:rsidRPr="000F6EBC">
              <w:rPr>
                <w:rFonts w:ascii="Arial" w:eastAsia="Calibri" w:hAnsi="Arial" w:cs="Arial"/>
                <w:b/>
                <w:bCs/>
                <w:color w:val="000000"/>
                <w:sz w:val="18"/>
              </w:rPr>
              <w:t>-70.2 (-78.7 to -58.4)</w:t>
            </w:r>
          </w:p>
        </w:tc>
        <w:tc>
          <w:tcPr>
            <w:tcW w:w="1922" w:type="dxa"/>
            <w:vAlign w:val="bottom"/>
          </w:tcPr>
          <w:p w14:paraId="4B62F958" w14:textId="20F147CC" w:rsidR="000F6EBC" w:rsidRPr="000F6EBC" w:rsidRDefault="000F6EBC" w:rsidP="00EF0307">
            <w:pPr>
              <w:jc w:val="center"/>
              <w:rPr>
                <w:rFonts w:ascii="Arial" w:eastAsia="Times New Roman" w:hAnsi="Arial" w:cs="Arial"/>
                <w:color w:val="000000"/>
                <w:sz w:val="18"/>
                <w:szCs w:val="18"/>
                <w:lang w:eastAsia="en-ZA"/>
              </w:rPr>
            </w:pPr>
            <w:r w:rsidRPr="000F6EBC">
              <w:rPr>
                <w:rFonts w:ascii="Arial" w:eastAsia="Calibri" w:hAnsi="Arial" w:cs="Arial"/>
                <w:color w:val="000000"/>
                <w:sz w:val="18"/>
              </w:rPr>
              <w:t>-12.0 (0.5</w:t>
            </w:r>
            <w:r w:rsidR="00EF0307">
              <w:rPr>
                <w:rFonts w:ascii="Arial" w:eastAsia="Calibri" w:hAnsi="Arial" w:cs="Arial"/>
                <w:color w:val="000000"/>
                <w:sz w:val="18"/>
              </w:rPr>
              <w:t>0</w:t>
            </w:r>
            <w:r w:rsidRPr="000F6EBC">
              <w:rPr>
                <w:rFonts w:ascii="Arial" w:eastAsia="Calibri" w:hAnsi="Arial" w:cs="Arial"/>
                <w:color w:val="000000"/>
                <w:sz w:val="18"/>
              </w:rPr>
              <w:t>)</w:t>
            </w:r>
          </w:p>
        </w:tc>
      </w:tr>
      <w:tr w:rsidR="000F6EBC" w:rsidRPr="000F6EBC" w14:paraId="2A211E96" w14:textId="77777777" w:rsidTr="00DE007A">
        <w:tc>
          <w:tcPr>
            <w:tcW w:w="3261" w:type="dxa"/>
            <w:shd w:val="clear" w:color="auto" w:fill="F2F2F2"/>
          </w:tcPr>
          <w:p w14:paraId="5AC0DA06" w14:textId="77777777" w:rsidR="000F6EBC" w:rsidRPr="000F6EBC" w:rsidRDefault="000F6EBC" w:rsidP="000F6EBC">
            <w:pPr>
              <w:rPr>
                <w:rFonts w:ascii="Arial" w:eastAsia="Calibri" w:hAnsi="Arial" w:cs="Arial"/>
                <w:sz w:val="18"/>
                <w:szCs w:val="18"/>
              </w:rPr>
            </w:pPr>
            <w:r w:rsidRPr="000F6EBC">
              <w:rPr>
                <w:rFonts w:ascii="Arial" w:eastAsia="Calibri" w:hAnsi="Arial" w:cs="Arial"/>
                <w:sz w:val="18"/>
                <w:szCs w:val="18"/>
              </w:rPr>
              <w:t xml:space="preserve">    Non-PCV13 serotypes</w:t>
            </w:r>
          </w:p>
        </w:tc>
        <w:tc>
          <w:tcPr>
            <w:tcW w:w="1921" w:type="dxa"/>
            <w:shd w:val="clear" w:color="auto" w:fill="F2F2F2"/>
          </w:tcPr>
          <w:p w14:paraId="337909FF" w14:textId="77777777" w:rsidR="000F6EBC" w:rsidRPr="000F6EBC" w:rsidRDefault="000F6EBC" w:rsidP="000F6EBC">
            <w:pPr>
              <w:jc w:val="center"/>
              <w:rPr>
                <w:rFonts w:ascii="Arial" w:eastAsia="Calibri" w:hAnsi="Arial" w:cs="Arial"/>
                <w:sz w:val="18"/>
                <w:szCs w:val="18"/>
              </w:rPr>
            </w:pPr>
            <w:r w:rsidRPr="000F6EBC">
              <w:rPr>
                <w:rFonts w:ascii="Arial" w:eastAsia="Times New Roman" w:hAnsi="Arial" w:cs="Arial"/>
                <w:bCs/>
                <w:color w:val="000000"/>
                <w:sz w:val="18"/>
                <w:szCs w:val="18"/>
                <w:lang w:eastAsia="en-ZA"/>
              </w:rPr>
              <w:t>12.8 (-1.3 to 28.8)</w:t>
            </w:r>
          </w:p>
        </w:tc>
        <w:tc>
          <w:tcPr>
            <w:tcW w:w="1922" w:type="dxa"/>
            <w:shd w:val="clear" w:color="auto" w:fill="F2F2F2"/>
            <w:vAlign w:val="bottom"/>
          </w:tcPr>
          <w:p w14:paraId="4581521B" w14:textId="77777777" w:rsidR="000F6EBC" w:rsidRPr="000F6EBC" w:rsidRDefault="000F6EBC" w:rsidP="000F6EBC">
            <w:pPr>
              <w:jc w:val="center"/>
              <w:rPr>
                <w:rFonts w:ascii="Arial" w:eastAsia="Times New Roman" w:hAnsi="Arial" w:cs="Arial"/>
                <w:b/>
                <w:color w:val="000000"/>
                <w:sz w:val="18"/>
                <w:szCs w:val="18"/>
                <w:lang w:eastAsia="en-ZA"/>
              </w:rPr>
            </w:pPr>
            <w:r w:rsidRPr="000F6EBC">
              <w:rPr>
                <w:rFonts w:ascii="Arial" w:eastAsia="Times New Roman" w:hAnsi="Arial" w:cs="Arial"/>
                <w:b/>
                <w:color w:val="000000"/>
                <w:sz w:val="18"/>
                <w:szCs w:val="18"/>
                <w:lang w:eastAsia="en-ZA"/>
              </w:rPr>
              <w:t>25.0 (1.1 to 54.5)</w:t>
            </w:r>
          </w:p>
        </w:tc>
        <w:tc>
          <w:tcPr>
            <w:tcW w:w="1922" w:type="dxa"/>
            <w:shd w:val="clear" w:color="auto" w:fill="F2F2F2"/>
            <w:vAlign w:val="bottom"/>
          </w:tcPr>
          <w:p w14:paraId="0D37A0D1" w14:textId="26C222B1" w:rsidR="000F6EBC" w:rsidRPr="000F6EBC" w:rsidRDefault="000F6EBC" w:rsidP="00EF0307">
            <w:pPr>
              <w:jc w:val="center"/>
              <w:rPr>
                <w:rFonts w:ascii="Arial" w:eastAsia="Times New Roman" w:hAnsi="Arial" w:cs="Arial"/>
                <w:bCs/>
                <w:color w:val="000000"/>
                <w:sz w:val="18"/>
                <w:szCs w:val="18"/>
                <w:lang w:eastAsia="en-ZA"/>
              </w:rPr>
            </w:pPr>
            <w:r w:rsidRPr="000F6EBC">
              <w:rPr>
                <w:rFonts w:ascii="Arial" w:eastAsia="Times New Roman" w:hAnsi="Arial" w:cs="Arial"/>
                <w:bCs/>
                <w:color w:val="000000"/>
                <w:sz w:val="18"/>
                <w:szCs w:val="18"/>
                <w:lang w:eastAsia="en-ZA"/>
              </w:rPr>
              <w:t>10.8 (0.4</w:t>
            </w:r>
            <w:r w:rsidR="00EF0307">
              <w:rPr>
                <w:rFonts w:ascii="Arial" w:eastAsia="Times New Roman" w:hAnsi="Arial" w:cs="Arial"/>
                <w:bCs/>
                <w:color w:val="000000"/>
                <w:sz w:val="18"/>
                <w:szCs w:val="18"/>
                <w:lang w:eastAsia="en-ZA"/>
              </w:rPr>
              <w:t>2</w:t>
            </w:r>
            <w:r w:rsidRPr="000F6EBC">
              <w:rPr>
                <w:rFonts w:ascii="Arial" w:eastAsia="Times New Roman" w:hAnsi="Arial" w:cs="Arial"/>
                <w:bCs/>
                <w:color w:val="000000"/>
                <w:sz w:val="18"/>
                <w:szCs w:val="18"/>
                <w:lang w:eastAsia="en-ZA"/>
              </w:rPr>
              <w:t>)</w:t>
            </w:r>
          </w:p>
        </w:tc>
      </w:tr>
      <w:tr w:rsidR="000F6EBC" w:rsidRPr="000F6EBC" w14:paraId="0C2B70E1" w14:textId="77777777" w:rsidTr="00DE007A">
        <w:tc>
          <w:tcPr>
            <w:tcW w:w="3261" w:type="dxa"/>
            <w:tcBorders>
              <w:bottom w:val="single" w:sz="4" w:space="0" w:color="auto"/>
            </w:tcBorders>
          </w:tcPr>
          <w:p w14:paraId="539F1DDC" w14:textId="77777777" w:rsidR="000F6EBC" w:rsidRPr="000F6EBC" w:rsidRDefault="000F6EBC" w:rsidP="000F6EBC">
            <w:pPr>
              <w:rPr>
                <w:rFonts w:ascii="Arial" w:eastAsia="Calibri" w:hAnsi="Arial" w:cs="Arial"/>
                <w:sz w:val="18"/>
                <w:szCs w:val="18"/>
              </w:rPr>
            </w:pPr>
            <w:r w:rsidRPr="000F6EBC">
              <w:rPr>
                <w:rFonts w:ascii="Arial" w:eastAsia="Calibri" w:hAnsi="Arial" w:cs="Arial"/>
                <w:sz w:val="18"/>
                <w:szCs w:val="18"/>
              </w:rPr>
              <w:t xml:space="preserve">    All serotypes</w:t>
            </w:r>
            <w:r w:rsidRPr="000F6EBC">
              <w:rPr>
                <w:rFonts w:ascii="Arial" w:eastAsia="Calibri" w:hAnsi="Arial" w:cs="Arial"/>
                <w:sz w:val="18"/>
                <w:szCs w:val="18"/>
                <w:vertAlign w:val="superscript"/>
              </w:rPr>
              <w:t>b</w:t>
            </w:r>
          </w:p>
        </w:tc>
        <w:tc>
          <w:tcPr>
            <w:tcW w:w="1921" w:type="dxa"/>
            <w:tcBorders>
              <w:bottom w:val="single" w:sz="4" w:space="0" w:color="auto"/>
            </w:tcBorders>
          </w:tcPr>
          <w:p w14:paraId="1A4951B2" w14:textId="77777777" w:rsidR="000F6EBC" w:rsidRPr="000F6EBC" w:rsidRDefault="000F6EBC" w:rsidP="000F6EBC">
            <w:pPr>
              <w:jc w:val="center"/>
              <w:rPr>
                <w:rFonts w:ascii="Arial" w:eastAsia="Calibri" w:hAnsi="Arial" w:cs="Arial"/>
                <w:sz w:val="18"/>
                <w:szCs w:val="18"/>
              </w:rPr>
            </w:pPr>
            <w:r w:rsidRPr="000F6EBC">
              <w:rPr>
                <w:rFonts w:ascii="Arial" w:eastAsia="Times New Roman" w:hAnsi="Arial" w:cs="Arial"/>
                <w:b/>
                <w:bCs/>
                <w:color w:val="000000"/>
                <w:sz w:val="18"/>
                <w:szCs w:val="18"/>
                <w:lang w:eastAsia="en-ZA"/>
              </w:rPr>
              <w:t>-67.4 (-70.1 to -64.4)</w:t>
            </w:r>
          </w:p>
        </w:tc>
        <w:tc>
          <w:tcPr>
            <w:tcW w:w="1922" w:type="dxa"/>
            <w:tcBorders>
              <w:bottom w:val="single" w:sz="4" w:space="0" w:color="auto"/>
            </w:tcBorders>
            <w:vAlign w:val="bottom"/>
          </w:tcPr>
          <w:p w14:paraId="09CFEC2A" w14:textId="77777777" w:rsidR="000F6EBC" w:rsidRPr="000F6EBC" w:rsidRDefault="000F6EBC" w:rsidP="000F6EBC">
            <w:pPr>
              <w:jc w:val="center"/>
              <w:rPr>
                <w:rFonts w:ascii="Arial" w:eastAsia="Times New Roman" w:hAnsi="Arial" w:cs="Arial"/>
                <w:b/>
                <w:bCs/>
                <w:color w:val="000000"/>
                <w:sz w:val="18"/>
                <w:szCs w:val="18"/>
                <w:lang w:eastAsia="en-ZA"/>
              </w:rPr>
            </w:pPr>
            <w:r w:rsidRPr="000F6EBC">
              <w:rPr>
                <w:rFonts w:ascii="Arial" w:eastAsia="Times New Roman" w:hAnsi="Arial" w:cs="Arial"/>
                <w:b/>
                <w:bCs/>
                <w:color w:val="000000"/>
                <w:sz w:val="18"/>
                <w:szCs w:val="18"/>
                <w:lang w:eastAsia="en-ZA"/>
              </w:rPr>
              <w:t>-66.7 (-71.3 to -61.3)</w:t>
            </w:r>
          </w:p>
        </w:tc>
        <w:tc>
          <w:tcPr>
            <w:tcW w:w="1922" w:type="dxa"/>
            <w:tcBorders>
              <w:bottom w:val="single" w:sz="4" w:space="0" w:color="auto"/>
            </w:tcBorders>
          </w:tcPr>
          <w:p w14:paraId="08A3BA36" w14:textId="1572F129" w:rsidR="000F6EBC" w:rsidRPr="000F6EBC" w:rsidRDefault="000F6EBC" w:rsidP="00EF0307">
            <w:pPr>
              <w:jc w:val="center"/>
              <w:rPr>
                <w:rFonts w:ascii="Arial" w:eastAsia="Calibri" w:hAnsi="Arial" w:cs="Arial"/>
                <w:sz w:val="18"/>
                <w:szCs w:val="18"/>
              </w:rPr>
            </w:pPr>
            <w:r w:rsidRPr="000F6EBC">
              <w:rPr>
                <w:rFonts w:ascii="Arial" w:eastAsia="Times New Roman" w:hAnsi="Arial" w:cs="Arial"/>
                <w:color w:val="000000"/>
                <w:sz w:val="18"/>
                <w:szCs w:val="18"/>
                <w:lang w:eastAsia="en-ZA"/>
              </w:rPr>
              <w:t>2.0 (0.8</w:t>
            </w:r>
            <w:r w:rsidR="00EF0307">
              <w:rPr>
                <w:rFonts w:ascii="Arial" w:eastAsia="Times New Roman" w:hAnsi="Arial" w:cs="Arial"/>
                <w:color w:val="000000"/>
                <w:sz w:val="18"/>
                <w:szCs w:val="18"/>
                <w:lang w:eastAsia="en-ZA"/>
              </w:rPr>
              <w:t>2</w:t>
            </w:r>
            <w:r w:rsidRPr="000F6EBC">
              <w:rPr>
                <w:rFonts w:ascii="Arial" w:eastAsia="Times New Roman" w:hAnsi="Arial" w:cs="Arial"/>
                <w:color w:val="000000"/>
                <w:sz w:val="18"/>
                <w:szCs w:val="18"/>
                <w:lang w:eastAsia="en-ZA"/>
              </w:rPr>
              <w:t>)</w:t>
            </w:r>
          </w:p>
        </w:tc>
      </w:tr>
      <w:tr w:rsidR="000F6EBC" w:rsidRPr="000F6EBC" w14:paraId="0D208FDB" w14:textId="77777777" w:rsidTr="00DE007A">
        <w:tc>
          <w:tcPr>
            <w:tcW w:w="9026" w:type="dxa"/>
            <w:gridSpan w:val="4"/>
            <w:tcBorders>
              <w:top w:val="single" w:sz="4" w:space="0" w:color="auto"/>
              <w:bottom w:val="single" w:sz="4" w:space="0" w:color="auto"/>
            </w:tcBorders>
          </w:tcPr>
          <w:p w14:paraId="7996113F" w14:textId="77777777" w:rsidR="000F6EBC" w:rsidRPr="000F6EBC" w:rsidRDefault="000F6EBC" w:rsidP="000F6EBC">
            <w:pPr>
              <w:rPr>
                <w:rFonts w:ascii="Arial" w:eastAsia="Calibri" w:hAnsi="Arial" w:cs="Arial"/>
                <w:b/>
                <w:sz w:val="18"/>
                <w:szCs w:val="18"/>
              </w:rPr>
            </w:pPr>
            <w:r w:rsidRPr="000F6EBC">
              <w:rPr>
                <w:rFonts w:ascii="Arial" w:eastAsia="Calibri" w:hAnsi="Arial" w:cs="Arial"/>
                <w:b/>
                <w:sz w:val="18"/>
                <w:szCs w:val="18"/>
              </w:rPr>
              <w:t>Individuals aged ≥5 years</w:t>
            </w:r>
          </w:p>
        </w:tc>
      </w:tr>
      <w:tr w:rsidR="000F6EBC" w:rsidRPr="000F6EBC" w14:paraId="0E046399" w14:textId="77777777" w:rsidTr="00DE007A">
        <w:tc>
          <w:tcPr>
            <w:tcW w:w="3261" w:type="dxa"/>
            <w:tcBorders>
              <w:top w:val="single" w:sz="4" w:space="0" w:color="auto"/>
            </w:tcBorders>
            <w:shd w:val="clear" w:color="auto" w:fill="F2F2F2"/>
          </w:tcPr>
          <w:p w14:paraId="353B82AD" w14:textId="77777777" w:rsidR="000F6EBC" w:rsidRPr="000F6EBC" w:rsidRDefault="000F6EBC" w:rsidP="000F6EBC">
            <w:pPr>
              <w:rPr>
                <w:rFonts w:ascii="Arial" w:eastAsia="Calibri" w:hAnsi="Arial" w:cs="Arial"/>
                <w:sz w:val="18"/>
                <w:szCs w:val="18"/>
              </w:rPr>
            </w:pPr>
            <w:r w:rsidRPr="000F6EBC">
              <w:rPr>
                <w:rFonts w:ascii="Arial" w:eastAsia="Calibri" w:hAnsi="Arial" w:cs="Arial"/>
                <w:sz w:val="18"/>
                <w:szCs w:val="18"/>
              </w:rPr>
              <w:t xml:space="preserve">    PCV7 serotypes</w:t>
            </w:r>
          </w:p>
        </w:tc>
        <w:tc>
          <w:tcPr>
            <w:tcW w:w="1921" w:type="dxa"/>
            <w:tcBorders>
              <w:top w:val="single" w:sz="4" w:space="0" w:color="auto"/>
            </w:tcBorders>
            <w:shd w:val="clear" w:color="auto" w:fill="F2F2F2"/>
            <w:vAlign w:val="bottom"/>
          </w:tcPr>
          <w:p w14:paraId="4710F094" w14:textId="77777777" w:rsidR="000F6EBC" w:rsidRPr="000F6EBC" w:rsidRDefault="000F6EBC" w:rsidP="000F6EBC">
            <w:pPr>
              <w:jc w:val="center"/>
              <w:rPr>
                <w:rFonts w:ascii="Arial" w:eastAsia="Times New Roman" w:hAnsi="Arial" w:cs="Arial"/>
                <w:b/>
                <w:bCs/>
                <w:color w:val="000000"/>
                <w:sz w:val="18"/>
                <w:szCs w:val="18"/>
                <w:lang w:eastAsia="en-ZA"/>
              </w:rPr>
            </w:pPr>
            <w:r w:rsidRPr="000F6EBC">
              <w:rPr>
                <w:rFonts w:ascii="Arial" w:eastAsia="Times New Roman" w:hAnsi="Arial" w:cs="Arial"/>
                <w:b/>
                <w:bCs/>
                <w:color w:val="000000"/>
                <w:sz w:val="18"/>
                <w:szCs w:val="18"/>
                <w:lang w:eastAsia="en-ZA"/>
              </w:rPr>
              <w:t>-55.0 (-59.0 to -50.7)</w:t>
            </w:r>
          </w:p>
        </w:tc>
        <w:tc>
          <w:tcPr>
            <w:tcW w:w="1922" w:type="dxa"/>
            <w:tcBorders>
              <w:top w:val="single" w:sz="4" w:space="0" w:color="auto"/>
            </w:tcBorders>
            <w:shd w:val="clear" w:color="auto" w:fill="F2F2F2"/>
            <w:vAlign w:val="bottom"/>
          </w:tcPr>
          <w:p w14:paraId="6FEA2D69" w14:textId="77777777" w:rsidR="000F6EBC" w:rsidRPr="000F6EBC" w:rsidRDefault="000F6EBC" w:rsidP="000F6EBC">
            <w:pPr>
              <w:jc w:val="center"/>
              <w:rPr>
                <w:rFonts w:ascii="Arial" w:eastAsia="Times New Roman" w:hAnsi="Arial" w:cs="Arial"/>
                <w:b/>
                <w:bCs/>
                <w:color w:val="000000"/>
                <w:sz w:val="18"/>
                <w:szCs w:val="18"/>
                <w:lang w:eastAsia="en-ZA"/>
              </w:rPr>
            </w:pPr>
            <w:r w:rsidRPr="000F6EBC">
              <w:rPr>
                <w:rFonts w:ascii="Arial" w:eastAsia="Times New Roman" w:hAnsi="Arial" w:cs="Arial"/>
                <w:b/>
                <w:bCs/>
                <w:color w:val="000000"/>
                <w:sz w:val="18"/>
                <w:szCs w:val="18"/>
                <w:lang w:eastAsia="en-ZA"/>
              </w:rPr>
              <w:t>-47.1 (-54.0 to -39.2)</w:t>
            </w:r>
          </w:p>
        </w:tc>
        <w:tc>
          <w:tcPr>
            <w:tcW w:w="1922" w:type="dxa"/>
            <w:tcBorders>
              <w:top w:val="single" w:sz="4" w:space="0" w:color="auto"/>
            </w:tcBorders>
            <w:shd w:val="clear" w:color="auto" w:fill="F2F2F2"/>
            <w:vAlign w:val="bottom"/>
          </w:tcPr>
          <w:p w14:paraId="05DD1893" w14:textId="1FD6B5D6" w:rsidR="000F6EBC" w:rsidRPr="000F6EBC" w:rsidRDefault="000F6EBC" w:rsidP="00EF0307">
            <w:pPr>
              <w:jc w:val="center"/>
              <w:rPr>
                <w:rFonts w:ascii="Arial" w:eastAsia="Times New Roman" w:hAnsi="Arial" w:cs="Arial"/>
                <w:color w:val="000000"/>
                <w:sz w:val="18"/>
                <w:szCs w:val="18"/>
                <w:lang w:eastAsia="en-ZA"/>
              </w:rPr>
            </w:pPr>
            <w:r w:rsidRPr="000F6EBC">
              <w:rPr>
                <w:rFonts w:ascii="Arial" w:eastAsia="Times New Roman" w:hAnsi="Arial" w:cs="Arial"/>
                <w:color w:val="000000"/>
                <w:sz w:val="18"/>
                <w:szCs w:val="18"/>
                <w:lang w:eastAsia="en-ZA"/>
              </w:rPr>
              <w:t>17.7 (0.0</w:t>
            </w:r>
            <w:r w:rsidR="00EF0307">
              <w:rPr>
                <w:rFonts w:ascii="Arial" w:eastAsia="Times New Roman" w:hAnsi="Arial" w:cs="Arial"/>
                <w:color w:val="000000"/>
                <w:sz w:val="18"/>
                <w:szCs w:val="18"/>
                <w:lang w:eastAsia="en-ZA"/>
              </w:rPr>
              <w:t>6</w:t>
            </w:r>
            <w:r w:rsidRPr="000F6EBC">
              <w:rPr>
                <w:rFonts w:ascii="Arial" w:eastAsia="Times New Roman" w:hAnsi="Arial" w:cs="Arial"/>
                <w:color w:val="000000"/>
                <w:sz w:val="18"/>
                <w:szCs w:val="18"/>
                <w:lang w:eastAsia="en-ZA"/>
              </w:rPr>
              <w:t>)</w:t>
            </w:r>
          </w:p>
        </w:tc>
      </w:tr>
      <w:tr w:rsidR="000F6EBC" w:rsidRPr="000F6EBC" w14:paraId="20483A65" w14:textId="77777777" w:rsidTr="00DE007A">
        <w:tc>
          <w:tcPr>
            <w:tcW w:w="3261" w:type="dxa"/>
          </w:tcPr>
          <w:p w14:paraId="596D8DCB" w14:textId="77777777" w:rsidR="000F6EBC" w:rsidRPr="000F6EBC" w:rsidRDefault="000F6EBC" w:rsidP="000F6EBC">
            <w:pPr>
              <w:rPr>
                <w:rFonts w:ascii="Arial" w:eastAsia="Calibri" w:hAnsi="Arial" w:cs="Arial"/>
                <w:sz w:val="18"/>
                <w:szCs w:val="18"/>
              </w:rPr>
            </w:pPr>
            <w:r w:rsidRPr="000F6EBC">
              <w:rPr>
                <w:rFonts w:ascii="Arial" w:eastAsia="Calibri" w:hAnsi="Arial" w:cs="Arial"/>
                <w:sz w:val="18"/>
                <w:szCs w:val="18"/>
              </w:rPr>
              <w:t xml:space="preserve">    Additional PCV13 serotypes</w:t>
            </w:r>
          </w:p>
        </w:tc>
        <w:tc>
          <w:tcPr>
            <w:tcW w:w="1921" w:type="dxa"/>
            <w:vAlign w:val="bottom"/>
          </w:tcPr>
          <w:p w14:paraId="5AE57AD6" w14:textId="77777777" w:rsidR="000F6EBC" w:rsidRPr="000F6EBC" w:rsidRDefault="000F6EBC" w:rsidP="000F6EBC">
            <w:pPr>
              <w:jc w:val="center"/>
              <w:rPr>
                <w:rFonts w:ascii="Arial" w:eastAsia="Times New Roman" w:hAnsi="Arial" w:cs="Arial"/>
                <w:b/>
                <w:bCs/>
                <w:color w:val="000000"/>
                <w:sz w:val="18"/>
                <w:szCs w:val="18"/>
                <w:lang w:eastAsia="en-ZA"/>
              </w:rPr>
            </w:pPr>
            <w:r w:rsidRPr="000F6EBC">
              <w:rPr>
                <w:rFonts w:ascii="Arial" w:eastAsia="Calibri" w:hAnsi="Arial" w:cs="Arial"/>
                <w:b/>
                <w:bCs/>
                <w:color w:val="000000"/>
                <w:sz w:val="18"/>
              </w:rPr>
              <w:t>-28.3 (-33.2 to -23.0)</w:t>
            </w:r>
          </w:p>
        </w:tc>
        <w:tc>
          <w:tcPr>
            <w:tcW w:w="1922" w:type="dxa"/>
            <w:vAlign w:val="bottom"/>
          </w:tcPr>
          <w:p w14:paraId="30A658A2" w14:textId="77777777" w:rsidR="000F6EBC" w:rsidRPr="000F6EBC" w:rsidRDefault="000F6EBC" w:rsidP="000F6EBC">
            <w:pPr>
              <w:jc w:val="center"/>
              <w:rPr>
                <w:rFonts w:ascii="Arial" w:eastAsia="Times New Roman" w:hAnsi="Arial" w:cs="Arial"/>
                <w:b/>
                <w:color w:val="000000"/>
                <w:sz w:val="18"/>
                <w:szCs w:val="18"/>
                <w:lang w:eastAsia="en-ZA"/>
              </w:rPr>
            </w:pPr>
            <w:r w:rsidRPr="000F6EBC">
              <w:rPr>
                <w:rFonts w:ascii="Arial" w:eastAsia="Calibri" w:hAnsi="Arial" w:cs="Arial"/>
                <w:b/>
                <w:bCs/>
                <w:color w:val="000000"/>
                <w:sz w:val="18"/>
              </w:rPr>
              <w:t>-26.5 (-35.3 to -16.5)</w:t>
            </w:r>
          </w:p>
        </w:tc>
        <w:tc>
          <w:tcPr>
            <w:tcW w:w="1922" w:type="dxa"/>
            <w:vAlign w:val="bottom"/>
          </w:tcPr>
          <w:p w14:paraId="78A3001C" w14:textId="0ECC9DFE" w:rsidR="000F6EBC" w:rsidRPr="000F6EBC" w:rsidRDefault="000F6EBC" w:rsidP="00EF0307">
            <w:pPr>
              <w:jc w:val="center"/>
              <w:rPr>
                <w:rFonts w:ascii="Arial" w:eastAsia="Times New Roman" w:hAnsi="Arial" w:cs="Arial"/>
                <w:bCs/>
                <w:color w:val="000000"/>
                <w:sz w:val="18"/>
                <w:szCs w:val="18"/>
                <w:lang w:eastAsia="en-ZA"/>
              </w:rPr>
            </w:pPr>
            <w:r w:rsidRPr="000F6EBC">
              <w:rPr>
                <w:rFonts w:ascii="Arial" w:eastAsia="Calibri" w:hAnsi="Arial" w:cs="Arial"/>
                <w:color w:val="000000"/>
                <w:sz w:val="18"/>
              </w:rPr>
              <w:t>2.5 (0.7</w:t>
            </w:r>
            <w:r w:rsidR="00EF0307">
              <w:rPr>
                <w:rFonts w:ascii="Arial" w:eastAsia="Calibri" w:hAnsi="Arial" w:cs="Arial"/>
                <w:color w:val="000000"/>
                <w:sz w:val="18"/>
              </w:rPr>
              <w:t>4</w:t>
            </w:r>
            <w:r w:rsidRPr="000F6EBC">
              <w:rPr>
                <w:rFonts w:ascii="Arial" w:eastAsia="Calibri" w:hAnsi="Arial" w:cs="Arial"/>
                <w:color w:val="000000"/>
                <w:sz w:val="18"/>
              </w:rPr>
              <w:t>)</w:t>
            </w:r>
          </w:p>
        </w:tc>
      </w:tr>
      <w:tr w:rsidR="000F6EBC" w:rsidRPr="000F6EBC" w14:paraId="3270BD9C" w14:textId="77777777" w:rsidTr="00DE007A">
        <w:tc>
          <w:tcPr>
            <w:tcW w:w="3261" w:type="dxa"/>
            <w:shd w:val="clear" w:color="auto" w:fill="F2F2F2"/>
          </w:tcPr>
          <w:p w14:paraId="0DF4F0DD" w14:textId="77777777" w:rsidR="000F6EBC" w:rsidRPr="000F6EBC" w:rsidRDefault="000F6EBC" w:rsidP="000F6EBC">
            <w:pPr>
              <w:rPr>
                <w:rFonts w:ascii="Arial" w:eastAsia="Calibri" w:hAnsi="Arial" w:cs="Arial"/>
                <w:sz w:val="18"/>
                <w:szCs w:val="18"/>
              </w:rPr>
            </w:pPr>
            <w:r w:rsidRPr="000F6EBC">
              <w:rPr>
                <w:rFonts w:ascii="Arial" w:eastAsia="Calibri" w:hAnsi="Arial" w:cs="Arial"/>
                <w:sz w:val="18"/>
                <w:szCs w:val="18"/>
              </w:rPr>
              <w:t xml:space="preserve">    Non-PCV13 serotypes</w:t>
            </w:r>
          </w:p>
        </w:tc>
        <w:tc>
          <w:tcPr>
            <w:tcW w:w="1921" w:type="dxa"/>
            <w:shd w:val="clear" w:color="auto" w:fill="F2F2F2"/>
            <w:vAlign w:val="bottom"/>
          </w:tcPr>
          <w:p w14:paraId="08C8FC4B" w14:textId="77777777" w:rsidR="000F6EBC" w:rsidRPr="000F6EBC" w:rsidRDefault="000F6EBC" w:rsidP="000F6EBC">
            <w:pPr>
              <w:jc w:val="center"/>
              <w:rPr>
                <w:rFonts w:ascii="Arial" w:eastAsia="Times New Roman" w:hAnsi="Arial" w:cs="Arial"/>
                <w:b/>
                <w:bCs/>
                <w:color w:val="000000"/>
                <w:sz w:val="18"/>
                <w:szCs w:val="18"/>
                <w:lang w:eastAsia="en-ZA"/>
              </w:rPr>
            </w:pPr>
            <w:r w:rsidRPr="000F6EBC">
              <w:rPr>
                <w:rFonts w:ascii="Arial" w:eastAsia="Times New Roman" w:hAnsi="Arial" w:cs="Arial"/>
                <w:b/>
                <w:bCs/>
                <w:color w:val="000000"/>
                <w:sz w:val="18"/>
                <w:szCs w:val="18"/>
                <w:lang w:eastAsia="en-ZA"/>
              </w:rPr>
              <w:t>22.1 (14.5 to 30.1)</w:t>
            </w:r>
          </w:p>
        </w:tc>
        <w:tc>
          <w:tcPr>
            <w:tcW w:w="1922" w:type="dxa"/>
            <w:shd w:val="clear" w:color="auto" w:fill="F2F2F2"/>
            <w:vAlign w:val="bottom"/>
          </w:tcPr>
          <w:p w14:paraId="218390F4" w14:textId="77777777" w:rsidR="000F6EBC" w:rsidRPr="000F6EBC" w:rsidRDefault="000F6EBC" w:rsidP="000F6EBC">
            <w:pPr>
              <w:jc w:val="center"/>
              <w:rPr>
                <w:rFonts w:ascii="Arial" w:eastAsia="Times New Roman" w:hAnsi="Arial" w:cs="Arial"/>
                <w:b/>
                <w:bCs/>
                <w:color w:val="000000"/>
                <w:sz w:val="18"/>
                <w:szCs w:val="18"/>
                <w:lang w:eastAsia="en-ZA"/>
              </w:rPr>
            </w:pPr>
            <w:r w:rsidRPr="000F6EBC">
              <w:rPr>
                <w:rFonts w:ascii="Arial" w:eastAsia="Times New Roman" w:hAnsi="Arial" w:cs="Arial"/>
                <w:b/>
                <w:bCs/>
                <w:color w:val="000000"/>
                <w:sz w:val="18"/>
                <w:szCs w:val="18"/>
                <w:lang w:eastAsia="en-ZA"/>
              </w:rPr>
              <w:t>61.4 (47.6 to 76.4)</w:t>
            </w:r>
          </w:p>
        </w:tc>
        <w:tc>
          <w:tcPr>
            <w:tcW w:w="1922" w:type="dxa"/>
            <w:shd w:val="clear" w:color="auto" w:fill="F2F2F2"/>
            <w:vAlign w:val="bottom"/>
          </w:tcPr>
          <w:p w14:paraId="4F5CB3F6" w14:textId="2DD6BD15" w:rsidR="000F6EBC" w:rsidRPr="000F6EBC" w:rsidRDefault="00EF0307" w:rsidP="000F6EBC">
            <w:pPr>
              <w:jc w:val="center"/>
              <w:rPr>
                <w:rFonts w:ascii="Arial" w:eastAsia="Times New Roman" w:hAnsi="Arial" w:cs="Arial"/>
                <w:b/>
                <w:color w:val="000000"/>
                <w:sz w:val="18"/>
                <w:szCs w:val="18"/>
                <w:lang w:eastAsia="en-ZA"/>
              </w:rPr>
            </w:pPr>
            <w:r>
              <w:rPr>
                <w:rFonts w:ascii="Arial" w:eastAsia="Times New Roman" w:hAnsi="Arial" w:cs="Arial"/>
                <w:b/>
                <w:color w:val="000000"/>
                <w:sz w:val="18"/>
                <w:szCs w:val="18"/>
                <w:lang w:eastAsia="en-ZA"/>
              </w:rPr>
              <w:t>32.2 (&lt;0.</w:t>
            </w:r>
            <w:r w:rsidR="000F6EBC" w:rsidRPr="000F6EBC">
              <w:rPr>
                <w:rFonts w:ascii="Arial" w:eastAsia="Times New Roman" w:hAnsi="Arial" w:cs="Arial"/>
                <w:b/>
                <w:color w:val="000000"/>
                <w:sz w:val="18"/>
                <w:szCs w:val="18"/>
                <w:lang w:eastAsia="en-ZA"/>
              </w:rPr>
              <w:t>01)</w:t>
            </w:r>
          </w:p>
        </w:tc>
      </w:tr>
      <w:tr w:rsidR="000F6EBC" w:rsidRPr="000F6EBC" w14:paraId="553EE0D2" w14:textId="77777777" w:rsidTr="00DE007A">
        <w:tc>
          <w:tcPr>
            <w:tcW w:w="3261" w:type="dxa"/>
            <w:tcBorders>
              <w:bottom w:val="single" w:sz="4" w:space="0" w:color="auto"/>
            </w:tcBorders>
          </w:tcPr>
          <w:p w14:paraId="2A26C9F6" w14:textId="77777777" w:rsidR="000F6EBC" w:rsidRPr="000F6EBC" w:rsidRDefault="000F6EBC" w:rsidP="000F6EBC">
            <w:pPr>
              <w:rPr>
                <w:rFonts w:ascii="Arial" w:eastAsia="Calibri" w:hAnsi="Arial" w:cs="Arial"/>
                <w:sz w:val="18"/>
                <w:szCs w:val="18"/>
              </w:rPr>
            </w:pPr>
            <w:r w:rsidRPr="000F6EBC">
              <w:rPr>
                <w:rFonts w:ascii="Arial" w:eastAsia="Calibri" w:hAnsi="Arial" w:cs="Arial"/>
                <w:sz w:val="18"/>
                <w:szCs w:val="18"/>
              </w:rPr>
              <w:t xml:space="preserve">    All serotypes</w:t>
            </w:r>
            <w:r w:rsidRPr="000F6EBC">
              <w:rPr>
                <w:rFonts w:ascii="Arial" w:eastAsia="Calibri" w:hAnsi="Arial" w:cs="Arial"/>
                <w:sz w:val="18"/>
                <w:szCs w:val="18"/>
                <w:vertAlign w:val="superscript"/>
              </w:rPr>
              <w:t>b</w:t>
            </w:r>
          </w:p>
        </w:tc>
        <w:tc>
          <w:tcPr>
            <w:tcW w:w="1921" w:type="dxa"/>
            <w:tcBorders>
              <w:bottom w:val="single" w:sz="4" w:space="0" w:color="auto"/>
            </w:tcBorders>
            <w:vAlign w:val="bottom"/>
          </w:tcPr>
          <w:p w14:paraId="2D1EB65D" w14:textId="77777777" w:rsidR="000F6EBC" w:rsidRPr="000F6EBC" w:rsidRDefault="000F6EBC" w:rsidP="000F6EBC">
            <w:pPr>
              <w:jc w:val="center"/>
              <w:rPr>
                <w:rFonts w:ascii="Arial" w:eastAsia="Times New Roman" w:hAnsi="Arial" w:cs="Arial"/>
                <w:b/>
                <w:bCs/>
                <w:color w:val="000000"/>
                <w:sz w:val="18"/>
                <w:szCs w:val="18"/>
                <w:lang w:eastAsia="en-ZA"/>
              </w:rPr>
            </w:pPr>
            <w:r w:rsidRPr="000F6EBC">
              <w:rPr>
                <w:rFonts w:ascii="Arial" w:eastAsia="Times New Roman" w:hAnsi="Arial" w:cs="Arial"/>
                <w:b/>
                <w:bCs/>
                <w:color w:val="000000"/>
                <w:sz w:val="18"/>
                <w:szCs w:val="18"/>
                <w:lang w:eastAsia="en-ZA"/>
              </w:rPr>
              <w:t>-22.3 (-25.5 to -19.0)</w:t>
            </w:r>
          </w:p>
        </w:tc>
        <w:tc>
          <w:tcPr>
            <w:tcW w:w="1922" w:type="dxa"/>
            <w:tcBorders>
              <w:bottom w:val="single" w:sz="4" w:space="0" w:color="auto"/>
            </w:tcBorders>
            <w:vAlign w:val="bottom"/>
          </w:tcPr>
          <w:p w14:paraId="0E46D904" w14:textId="77777777" w:rsidR="000F6EBC" w:rsidRPr="000F6EBC" w:rsidRDefault="000F6EBC" w:rsidP="000F6EBC">
            <w:pPr>
              <w:jc w:val="center"/>
              <w:rPr>
                <w:rFonts w:ascii="Arial" w:eastAsia="Times New Roman" w:hAnsi="Arial" w:cs="Arial"/>
                <w:color w:val="000000"/>
                <w:sz w:val="18"/>
                <w:szCs w:val="18"/>
                <w:lang w:eastAsia="en-ZA"/>
              </w:rPr>
            </w:pPr>
            <w:r w:rsidRPr="000F6EBC">
              <w:rPr>
                <w:rFonts w:ascii="Arial" w:eastAsia="Times New Roman" w:hAnsi="Arial" w:cs="Arial"/>
                <w:color w:val="000000"/>
                <w:sz w:val="18"/>
                <w:szCs w:val="18"/>
                <w:lang w:eastAsia="en-ZA"/>
              </w:rPr>
              <w:t>-3.2 (-9.2 to 3.1)</w:t>
            </w:r>
          </w:p>
        </w:tc>
        <w:tc>
          <w:tcPr>
            <w:tcW w:w="1922" w:type="dxa"/>
            <w:tcBorders>
              <w:bottom w:val="single" w:sz="4" w:space="0" w:color="auto"/>
            </w:tcBorders>
            <w:vAlign w:val="bottom"/>
          </w:tcPr>
          <w:p w14:paraId="4F003004" w14:textId="58C82EE7" w:rsidR="000F6EBC" w:rsidRPr="000F6EBC" w:rsidRDefault="00EF0307" w:rsidP="000F6EBC">
            <w:pPr>
              <w:jc w:val="center"/>
              <w:rPr>
                <w:rFonts w:ascii="Arial" w:eastAsia="Times New Roman" w:hAnsi="Arial" w:cs="Arial"/>
                <w:b/>
                <w:bCs/>
                <w:color w:val="000000"/>
                <w:sz w:val="18"/>
                <w:szCs w:val="18"/>
                <w:lang w:eastAsia="en-ZA"/>
              </w:rPr>
            </w:pPr>
            <w:r>
              <w:rPr>
                <w:rFonts w:ascii="Arial" w:eastAsia="Times New Roman" w:hAnsi="Arial" w:cs="Arial"/>
                <w:b/>
                <w:bCs/>
                <w:color w:val="000000"/>
                <w:sz w:val="18"/>
                <w:szCs w:val="18"/>
                <w:lang w:eastAsia="en-ZA"/>
              </w:rPr>
              <w:t>24.6 (&lt;0.</w:t>
            </w:r>
            <w:r w:rsidR="000F6EBC" w:rsidRPr="000F6EBC">
              <w:rPr>
                <w:rFonts w:ascii="Arial" w:eastAsia="Times New Roman" w:hAnsi="Arial" w:cs="Arial"/>
                <w:b/>
                <w:bCs/>
                <w:color w:val="000000"/>
                <w:sz w:val="18"/>
                <w:szCs w:val="18"/>
                <w:lang w:eastAsia="en-ZA"/>
              </w:rPr>
              <w:t>01)</w:t>
            </w:r>
          </w:p>
        </w:tc>
      </w:tr>
      <w:tr w:rsidR="000F6EBC" w:rsidRPr="000F6EBC" w14:paraId="06E4BB5F" w14:textId="77777777" w:rsidTr="00DE007A">
        <w:tc>
          <w:tcPr>
            <w:tcW w:w="9026" w:type="dxa"/>
            <w:gridSpan w:val="4"/>
            <w:tcBorders>
              <w:top w:val="single" w:sz="4" w:space="0" w:color="auto"/>
              <w:bottom w:val="single" w:sz="4" w:space="0" w:color="auto"/>
            </w:tcBorders>
          </w:tcPr>
          <w:p w14:paraId="6843AA2F" w14:textId="77777777" w:rsidR="000F6EBC" w:rsidRPr="000F6EBC" w:rsidRDefault="000F6EBC" w:rsidP="000F6EBC">
            <w:pPr>
              <w:rPr>
                <w:rFonts w:ascii="Arial" w:eastAsia="Calibri" w:hAnsi="Arial" w:cs="Arial"/>
                <w:b/>
                <w:sz w:val="18"/>
                <w:szCs w:val="18"/>
              </w:rPr>
            </w:pPr>
            <w:r w:rsidRPr="000F6EBC">
              <w:rPr>
                <w:rFonts w:ascii="Arial" w:eastAsia="Calibri" w:hAnsi="Arial" w:cs="Arial"/>
                <w:b/>
                <w:sz w:val="18"/>
                <w:szCs w:val="18"/>
              </w:rPr>
              <w:t>Individuals of all ages</w:t>
            </w:r>
          </w:p>
        </w:tc>
      </w:tr>
      <w:tr w:rsidR="000F6EBC" w:rsidRPr="000F6EBC" w14:paraId="3BB7AD19" w14:textId="77777777" w:rsidTr="00DE007A">
        <w:tc>
          <w:tcPr>
            <w:tcW w:w="3261" w:type="dxa"/>
            <w:tcBorders>
              <w:top w:val="single" w:sz="4" w:space="0" w:color="auto"/>
            </w:tcBorders>
            <w:shd w:val="clear" w:color="auto" w:fill="F2F2F2"/>
          </w:tcPr>
          <w:p w14:paraId="0FF4ED60" w14:textId="77777777" w:rsidR="000F6EBC" w:rsidRPr="000F6EBC" w:rsidRDefault="000F6EBC" w:rsidP="000F6EBC">
            <w:pPr>
              <w:rPr>
                <w:rFonts w:ascii="Arial" w:eastAsia="Calibri" w:hAnsi="Arial" w:cs="Arial"/>
                <w:sz w:val="18"/>
                <w:szCs w:val="18"/>
              </w:rPr>
            </w:pPr>
            <w:r w:rsidRPr="000F6EBC">
              <w:rPr>
                <w:rFonts w:ascii="Arial" w:eastAsia="Calibri" w:hAnsi="Arial" w:cs="Arial"/>
                <w:sz w:val="18"/>
                <w:szCs w:val="18"/>
              </w:rPr>
              <w:t xml:space="preserve">    PCV7 serotypes</w:t>
            </w:r>
            <w:r w:rsidRPr="000F6EBC">
              <w:rPr>
                <w:rFonts w:ascii="Arial" w:eastAsia="Calibri" w:hAnsi="Arial" w:cs="Arial"/>
                <w:sz w:val="18"/>
                <w:szCs w:val="18"/>
                <w:vertAlign w:val="superscript"/>
              </w:rPr>
              <w:t>c</w:t>
            </w:r>
          </w:p>
        </w:tc>
        <w:tc>
          <w:tcPr>
            <w:tcW w:w="1921" w:type="dxa"/>
            <w:tcBorders>
              <w:top w:val="single" w:sz="4" w:space="0" w:color="auto"/>
            </w:tcBorders>
            <w:shd w:val="clear" w:color="auto" w:fill="F2F2F2"/>
            <w:vAlign w:val="bottom"/>
          </w:tcPr>
          <w:p w14:paraId="424348C0" w14:textId="77777777" w:rsidR="000F6EBC" w:rsidRPr="000F6EBC" w:rsidRDefault="000F6EBC" w:rsidP="000F6EBC">
            <w:pPr>
              <w:jc w:val="center"/>
              <w:rPr>
                <w:rFonts w:ascii="Arial" w:eastAsia="Times New Roman" w:hAnsi="Arial" w:cs="Arial"/>
                <w:b/>
                <w:bCs/>
                <w:color w:val="000000"/>
                <w:sz w:val="18"/>
                <w:szCs w:val="18"/>
                <w:lang w:eastAsia="en-ZA"/>
              </w:rPr>
            </w:pPr>
            <w:r w:rsidRPr="000F6EBC">
              <w:rPr>
                <w:rFonts w:ascii="Arial" w:eastAsia="Times New Roman" w:hAnsi="Arial" w:cs="Arial"/>
                <w:b/>
                <w:bCs/>
                <w:color w:val="000000"/>
                <w:sz w:val="18"/>
                <w:szCs w:val="18"/>
                <w:lang w:eastAsia="en-ZA"/>
              </w:rPr>
              <w:t>-70.4 (-72.7 to -67.9)</w:t>
            </w:r>
          </w:p>
        </w:tc>
        <w:tc>
          <w:tcPr>
            <w:tcW w:w="1922" w:type="dxa"/>
            <w:tcBorders>
              <w:top w:val="single" w:sz="4" w:space="0" w:color="auto"/>
            </w:tcBorders>
            <w:shd w:val="clear" w:color="auto" w:fill="F2F2F2"/>
            <w:vAlign w:val="bottom"/>
          </w:tcPr>
          <w:p w14:paraId="2A4AD587" w14:textId="77777777" w:rsidR="000F6EBC" w:rsidRPr="000F6EBC" w:rsidRDefault="000F6EBC" w:rsidP="000F6EBC">
            <w:pPr>
              <w:jc w:val="center"/>
              <w:rPr>
                <w:rFonts w:ascii="Arial" w:eastAsia="Times New Roman" w:hAnsi="Arial" w:cs="Arial"/>
                <w:b/>
                <w:bCs/>
                <w:color w:val="000000"/>
                <w:sz w:val="18"/>
                <w:szCs w:val="18"/>
                <w:lang w:eastAsia="en-ZA"/>
              </w:rPr>
            </w:pPr>
            <w:r w:rsidRPr="000F6EBC">
              <w:rPr>
                <w:rFonts w:ascii="Arial" w:eastAsia="Times New Roman" w:hAnsi="Arial" w:cs="Arial"/>
                <w:b/>
                <w:bCs/>
                <w:color w:val="000000"/>
                <w:sz w:val="18"/>
                <w:szCs w:val="18"/>
                <w:lang w:eastAsia="en-ZA"/>
              </w:rPr>
              <w:t>-66.2 (-70.2 to -61.6)</w:t>
            </w:r>
          </w:p>
        </w:tc>
        <w:tc>
          <w:tcPr>
            <w:tcW w:w="1922" w:type="dxa"/>
            <w:tcBorders>
              <w:top w:val="single" w:sz="4" w:space="0" w:color="auto"/>
            </w:tcBorders>
            <w:shd w:val="clear" w:color="auto" w:fill="F2F2F2"/>
            <w:vAlign w:val="bottom"/>
          </w:tcPr>
          <w:p w14:paraId="13EE657A" w14:textId="3CAA32C9" w:rsidR="000F6EBC" w:rsidRPr="000F6EBC" w:rsidRDefault="00EF0307" w:rsidP="000F6EBC">
            <w:pPr>
              <w:jc w:val="center"/>
              <w:rPr>
                <w:rFonts w:ascii="Arial" w:eastAsia="Times New Roman" w:hAnsi="Arial" w:cs="Arial"/>
                <w:color w:val="000000"/>
                <w:sz w:val="18"/>
                <w:szCs w:val="18"/>
                <w:lang w:eastAsia="en-ZA"/>
              </w:rPr>
            </w:pPr>
            <w:r>
              <w:rPr>
                <w:rFonts w:ascii="Arial" w:eastAsia="Times New Roman" w:hAnsi="Arial" w:cs="Arial"/>
                <w:color w:val="000000"/>
                <w:sz w:val="18"/>
                <w:szCs w:val="18"/>
                <w:lang w:eastAsia="en-ZA"/>
              </w:rPr>
              <w:t>14.3 (0.08</w:t>
            </w:r>
            <w:r w:rsidR="000F6EBC" w:rsidRPr="000F6EBC">
              <w:rPr>
                <w:rFonts w:ascii="Arial" w:eastAsia="Times New Roman" w:hAnsi="Arial" w:cs="Arial"/>
                <w:color w:val="000000"/>
                <w:sz w:val="18"/>
                <w:szCs w:val="18"/>
                <w:lang w:eastAsia="en-ZA"/>
              </w:rPr>
              <w:t>)</w:t>
            </w:r>
          </w:p>
        </w:tc>
      </w:tr>
      <w:tr w:rsidR="000F6EBC" w:rsidRPr="000F6EBC" w14:paraId="698DC97D" w14:textId="77777777" w:rsidTr="00DE007A">
        <w:tc>
          <w:tcPr>
            <w:tcW w:w="3261" w:type="dxa"/>
          </w:tcPr>
          <w:p w14:paraId="10785F44" w14:textId="77777777" w:rsidR="000F6EBC" w:rsidRPr="000F6EBC" w:rsidRDefault="000F6EBC" w:rsidP="000F6EBC">
            <w:pPr>
              <w:rPr>
                <w:rFonts w:ascii="Arial" w:eastAsia="Calibri" w:hAnsi="Arial" w:cs="Arial"/>
                <w:sz w:val="18"/>
                <w:szCs w:val="18"/>
              </w:rPr>
            </w:pPr>
            <w:r w:rsidRPr="000F6EBC">
              <w:rPr>
                <w:rFonts w:ascii="Arial" w:eastAsia="Calibri" w:hAnsi="Arial" w:cs="Arial"/>
                <w:sz w:val="18"/>
                <w:szCs w:val="18"/>
              </w:rPr>
              <w:t xml:space="preserve">    Additional PCV13 serotypes</w:t>
            </w:r>
            <w:r w:rsidRPr="000F6EBC">
              <w:rPr>
                <w:rFonts w:ascii="Arial" w:eastAsia="Calibri" w:hAnsi="Arial" w:cs="Arial"/>
                <w:sz w:val="18"/>
                <w:szCs w:val="18"/>
                <w:vertAlign w:val="superscript"/>
              </w:rPr>
              <w:t>c</w:t>
            </w:r>
          </w:p>
        </w:tc>
        <w:tc>
          <w:tcPr>
            <w:tcW w:w="1921" w:type="dxa"/>
            <w:vAlign w:val="bottom"/>
          </w:tcPr>
          <w:p w14:paraId="74EB7C9B" w14:textId="77777777" w:rsidR="000F6EBC" w:rsidRPr="000F6EBC" w:rsidRDefault="000F6EBC" w:rsidP="000F6EBC">
            <w:pPr>
              <w:jc w:val="center"/>
              <w:rPr>
                <w:rFonts w:ascii="Arial" w:eastAsia="Times New Roman" w:hAnsi="Arial" w:cs="Arial"/>
                <w:b/>
                <w:bCs/>
                <w:color w:val="000000"/>
                <w:sz w:val="18"/>
                <w:szCs w:val="18"/>
                <w:lang w:eastAsia="en-ZA"/>
              </w:rPr>
            </w:pPr>
            <w:r w:rsidRPr="000F6EBC">
              <w:rPr>
                <w:rFonts w:ascii="Arial" w:eastAsia="Calibri" w:hAnsi="Arial" w:cs="Arial"/>
                <w:b/>
                <w:bCs/>
                <w:color w:val="000000"/>
                <w:sz w:val="18"/>
              </w:rPr>
              <w:t>-38.3 (-42.1 to -34.1)</w:t>
            </w:r>
          </w:p>
        </w:tc>
        <w:tc>
          <w:tcPr>
            <w:tcW w:w="1922" w:type="dxa"/>
            <w:vAlign w:val="bottom"/>
          </w:tcPr>
          <w:p w14:paraId="09183C66" w14:textId="77777777" w:rsidR="000F6EBC" w:rsidRPr="000F6EBC" w:rsidRDefault="000F6EBC" w:rsidP="000F6EBC">
            <w:pPr>
              <w:jc w:val="center"/>
              <w:rPr>
                <w:rFonts w:ascii="Arial" w:eastAsia="Times New Roman" w:hAnsi="Arial" w:cs="Arial"/>
                <w:b/>
                <w:color w:val="000000"/>
                <w:sz w:val="18"/>
                <w:szCs w:val="18"/>
                <w:lang w:eastAsia="en-ZA"/>
              </w:rPr>
            </w:pPr>
            <w:r w:rsidRPr="000F6EBC">
              <w:rPr>
                <w:rFonts w:ascii="Arial" w:eastAsia="Calibri" w:hAnsi="Arial" w:cs="Arial"/>
                <w:b/>
                <w:bCs/>
                <w:color w:val="000000"/>
                <w:sz w:val="18"/>
              </w:rPr>
              <w:t>-37.2 (-44.2 to -29.3)</w:t>
            </w:r>
          </w:p>
        </w:tc>
        <w:tc>
          <w:tcPr>
            <w:tcW w:w="1922" w:type="dxa"/>
            <w:vAlign w:val="bottom"/>
          </w:tcPr>
          <w:p w14:paraId="01D1D2BA" w14:textId="1C000C79" w:rsidR="000F6EBC" w:rsidRPr="000F6EBC" w:rsidRDefault="00EF0307" w:rsidP="000F6EBC">
            <w:pPr>
              <w:jc w:val="center"/>
              <w:rPr>
                <w:rFonts w:ascii="Arial" w:eastAsia="Times New Roman" w:hAnsi="Arial" w:cs="Arial"/>
                <w:bCs/>
                <w:color w:val="000000"/>
                <w:sz w:val="18"/>
                <w:szCs w:val="18"/>
                <w:lang w:eastAsia="en-ZA"/>
              </w:rPr>
            </w:pPr>
            <w:r>
              <w:rPr>
                <w:rFonts w:ascii="Arial" w:eastAsia="Calibri" w:hAnsi="Arial" w:cs="Arial"/>
                <w:color w:val="000000"/>
                <w:sz w:val="18"/>
              </w:rPr>
              <w:t>1.7 (0.80</w:t>
            </w:r>
            <w:r w:rsidR="000F6EBC" w:rsidRPr="000F6EBC">
              <w:rPr>
                <w:rFonts w:ascii="Arial" w:eastAsia="Calibri" w:hAnsi="Arial" w:cs="Arial"/>
                <w:color w:val="000000"/>
                <w:sz w:val="18"/>
              </w:rPr>
              <w:t>)</w:t>
            </w:r>
          </w:p>
        </w:tc>
      </w:tr>
      <w:tr w:rsidR="000F6EBC" w:rsidRPr="000F6EBC" w14:paraId="20B6CAAD" w14:textId="77777777" w:rsidTr="00DE007A">
        <w:tc>
          <w:tcPr>
            <w:tcW w:w="3261" w:type="dxa"/>
            <w:shd w:val="clear" w:color="auto" w:fill="F2F2F2"/>
          </w:tcPr>
          <w:p w14:paraId="7F77A8C9" w14:textId="77777777" w:rsidR="000F6EBC" w:rsidRPr="000F6EBC" w:rsidRDefault="000F6EBC" w:rsidP="000F6EBC">
            <w:pPr>
              <w:rPr>
                <w:rFonts w:ascii="Arial" w:eastAsia="Calibri" w:hAnsi="Arial" w:cs="Arial"/>
                <w:b/>
                <w:sz w:val="18"/>
                <w:szCs w:val="18"/>
              </w:rPr>
            </w:pPr>
            <w:r w:rsidRPr="000F6EBC">
              <w:rPr>
                <w:rFonts w:ascii="Arial" w:eastAsia="Calibri" w:hAnsi="Arial" w:cs="Arial"/>
                <w:sz w:val="18"/>
                <w:szCs w:val="18"/>
              </w:rPr>
              <w:t xml:space="preserve">    Non-PCV13 serotypes</w:t>
            </w:r>
            <w:r w:rsidRPr="000F6EBC">
              <w:rPr>
                <w:rFonts w:ascii="Arial" w:eastAsia="Calibri" w:hAnsi="Arial" w:cs="Arial"/>
                <w:sz w:val="18"/>
                <w:szCs w:val="18"/>
                <w:vertAlign w:val="superscript"/>
              </w:rPr>
              <w:t>c</w:t>
            </w:r>
          </w:p>
        </w:tc>
        <w:tc>
          <w:tcPr>
            <w:tcW w:w="1921" w:type="dxa"/>
            <w:shd w:val="clear" w:color="auto" w:fill="F2F2F2"/>
            <w:vAlign w:val="bottom"/>
          </w:tcPr>
          <w:p w14:paraId="2C9318D6" w14:textId="77777777" w:rsidR="000F6EBC" w:rsidRPr="000F6EBC" w:rsidRDefault="000F6EBC" w:rsidP="000F6EBC">
            <w:pPr>
              <w:jc w:val="center"/>
              <w:rPr>
                <w:rFonts w:ascii="Arial" w:eastAsia="Times New Roman" w:hAnsi="Arial" w:cs="Arial"/>
                <w:b/>
                <w:bCs/>
                <w:color w:val="000000"/>
                <w:sz w:val="18"/>
                <w:szCs w:val="18"/>
                <w:lang w:eastAsia="en-ZA"/>
              </w:rPr>
            </w:pPr>
            <w:r w:rsidRPr="000F6EBC">
              <w:rPr>
                <w:rFonts w:ascii="Arial" w:eastAsia="Times New Roman" w:hAnsi="Arial" w:cs="Arial"/>
                <w:b/>
                <w:bCs/>
                <w:color w:val="000000"/>
                <w:sz w:val="18"/>
                <w:szCs w:val="18"/>
                <w:lang w:eastAsia="en-ZA"/>
              </w:rPr>
              <w:t>20.3 (13.5 to 27.4)</w:t>
            </w:r>
          </w:p>
        </w:tc>
        <w:tc>
          <w:tcPr>
            <w:tcW w:w="1922" w:type="dxa"/>
            <w:shd w:val="clear" w:color="auto" w:fill="F2F2F2"/>
            <w:vAlign w:val="bottom"/>
          </w:tcPr>
          <w:p w14:paraId="222CA049" w14:textId="77777777" w:rsidR="000F6EBC" w:rsidRPr="000F6EBC" w:rsidRDefault="000F6EBC" w:rsidP="000F6EBC">
            <w:pPr>
              <w:jc w:val="center"/>
              <w:rPr>
                <w:rFonts w:ascii="Arial" w:eastAsia="Times New Roman" w:hAnsi="Arial" w:cs="Arial"/>
                <w:b/>
                <w:bCs/>
                <w:color w:val="000000"/>
                <w:sz w:val="18"/>
                <w:szCs w:val="18"/>
                <w:lang w:eastAsia="en-ZA"/>
              </w:rPr>
            </w:pPr>
            <w:r w:rsidRPr="000F6EBC">
              <w:rPr>
                <w:rFonts w:ascii="Arial" w:eastAsia="Times New Roman" w:hAnsi="Arial" w:cs="Arial"/>
                <w:b/>
                <w:bCs/>
                <w:color w:val="000000"/>
                <w:sz w:val="18"/>
                <w:szCs w:val="18"/>
                <w:lang w:eastAsia="en-ZA"/>
              </w:rPr>
              <w:t>54.9 (42.7 to 68.1)</w:t>
            </w:r>
          </w:p>
        </w:tc>
        <w:tc>
          <w:tcPr>
            <w:tcW w:w="1922" w:type="dxa"/>
            <w:shd w:val="clear" w:color="auto" w:fill="F2F2F2"/>
            <w:vAlign w:val="bottom"/>
          </w:tcPr>
          <w:p w14:paraId="250DE27E" w14:textId="49553424" w:rsidR="000F6EBC" w:rsidRPr="000F6EBC" w:rsidRDefault="00EF0307" w:rsidP="000F6EBC">
            <w:pPr>
              <w:jc w:val="center"/>
              <w:rPr>
                <w:rFonts w:ascii="Arial" w:eastAsia="Times New Roman" w:hAnsi="Arial" w:cs="Arial"/>
                <w:b/>
                <w:color w:val="000000"/>
                <w:sz w:val="18"/>
                <w:szCs w:val="18"/>
                <w:lang w:eastAsia="en-ZA"/>
              </w:rPr>
            </w:pPr>
            <w:r>
              <w:rPr>
                <w:rFonts w:ascii="Arial" w:eastAsia="Times New Roman" w:hAnsi="Arial" w:cs="Arial"/>
                <w:b/>
                <w:color w:val="000000"/>
                <w:sz w:val="18"/>
                <w:szCs w:val="18"/>
                <w:lang w:eastAsia="en-ZA"/>
              </w:rPr>
              <w:t>28.8 (&lt;0.</w:t>
            </w:r>
            <w:r w:rsidR="000F6EBC" w:rsidRPr="000F6EBC">
              <w:rPr>
                <w:rFonts w:ascii="Arial" w:eastAsia="Times New Roman" w:hAnsi="Arial" w:cs="Arial"/>
                <w:b/>
                <w:color w:val="000000"/>
                <w:sz w:val="18"/>
                <w:szCs w:val="18"/>
                <w:lang w:eastAsia="en-ZA"/>
              </w:rPr>
              <w:t>01)</w:t>
            </w:r>
          </w:p>
        </w:tc>
      </w:tr>
      <w:tr w:rsidR="000F6EBC" w:rsidRPr="000F6EBC" w14:paraId="2EE2DB03" w14:textId="77777777" w:rsidTr="00DE007A">
        <w:tc>
          <w:tcPr>
            <w:tcW w:w="3261" w:type="dxa"/>
            <w:tcBorders>
              <w:bottom w:val="single" w:sz="4" w:space="0" w:color="auto"/>
            </w:tcBorders>
          </w:tcPr>
          <w:p w14:paraId="1F8A0C97" w14:textId="77777777" w:rsidR="000F6EBC" w:rsidRPr="000F6EBC" w:rsidRDefault="000F6EBC" w:rsidP="000F6EBC">
            <w:pPr>
              <w:rPr>
                <w:rFonts w:ascii="Arial" w:eastAsia="Calibri" w:hAnsi="Arial" w:cs="Arial"/>
                <w:sz w:val="18"/>
                <w:szCs w:val="18"/>
              </w:rPr>
            </w:pPr>
            <w:r w:rsidRPr="000F6EBC">
              <w:rPr>
                <w:rFonts w:ascii="Arial" w:eastAsia="Calibri" w:hAnsi="Arial" w:cs="Arial"/>
                <w:sz w:val="18"/>
                <w:szCs w:val="18"/>
              </w:rPr>
              <w:t xml:space="preserve">    All </w:t>
            </w:r>
            <w:proofErr w:type="spellStart"/>
            <w:r w:rsidRPr="000F6EBC">
              <w:rPr>
                <w:rFonts w:ascii="Arial" w:eastAsia="Calibri" w:hAnsi="Arial" w:cs="Arial"/>
                <w:sz w:val="18"/>
                <w:szCs w:val="18"/>
              </w:rPr>
              <w:t>serotypes</w:t>
            </w:r>
            <w:r w:rsidRPr="000F6EBC">
              <w:rPr>
                <w:rFonts w:ascii="Arial" w:eastAsia="Calibri" w:hAnsi="Arial" w:cs="Arial"/>
                <w:sz w:val="18"/>
                <w:szCs w:val="18"/>
                <w:vertAlign w:val="superscript"/>
              </w:rPr>
              <w:t>d</w:t>
            </w:r>
            <w:proofErr w:type="spellEnd"/>
          </w:p>
        </w:tc>
        <w:tc>
          <w:tcPr>
            <w:tcW w:w="1921" w:type="dxa"/>
            <w:tcBorders>
              <w:bottom w:val="single" w:sz="4" w:space="0" w:color="auto"/>
            </w:tcBorders>
            <w:vAlign w:val="bottom"/>
          </w:tcPr>
          <w:p w14:paraId="0E11CA1C" w14:textId="77777777" w:rsidR="000F6EBC" w:rsidRPr="000F6EBC" w:rsidRDefault="000F6EBC" w:rsidP="000F6EBC">
            <w:pPr>
              <w:jc w:val="center"/>
              <w:rPr>
                <w:rFonts w:ascii="Arial" w:eastAsia="Times New Roman" w:hAnsi="Arial" w:cs="Arial"/>
                <w:b/>
                <w:bCs/>
                <w:color w:val="000000"/>
                <w:sz w:val="18"/>
                <w:szCs w:val="18"/>
                <w:lang w:eastAsia="en-ZA"/>
              </w:rPr>
            </w:pPr>
            <w:r w:rsidRPr="000F6EBC">
              <w:rPr>
                <w:rFonts w:ascii="Arial" w:eastAsia="Times New Roman" w:hAnsi="Arial" w:cs="Arial"/>
                <w:b/>
                <w:bCs/>
                <w:color w:val="000000"/>
                <w:sz w:val="18"/>
                <w:szCs w:val="18"/>
                <w:lang w:eastAsia="en-ZA"/>
              </w:rPr>
              <w:t>-37.2 (-39.5 to -34.8)</w:t>
            </w:r>
          </w:p>
        </w:tc>
        <w:tc>
          <w:tcPr>
            <w:tcW w:w="1922" w:type="dxa"/>
            <w:tcBorders>
              <w:bottom w:val="single" w:sz="4" w:space="0" w:color="auto"/>
            </w:tcBorders>
            <w:vAlign w:val="bottom"/>
          </w:tcPr>
          <w:p w14:paraId="5B835210" w14:textId="77777777" w:rsidR="000F6EBC" w:rsidRPr="000F6EBC" w:rsidRDefault="000F6EBC" w:rsidP="000F6EBC">
            <w:pPr>
              <w:jc w:val="center"/>
              <w:rPr>
                <w:rFonts w:ascii="Arial" w:eastAsia="Times New Roman" w:hAnsi="Arial" w:cs="Arial"/>
                <w:b/>
                <w:bCs/>
                <w:color w:val="000000"/>
                <w:sz w:val="18"/>
                <w:szCs w:val="18"/>
                <w:lang w:eastAsia="en-ZA"/>
              </w:rPr>
            </w:pPr>
            <w:r w:rsidRPr="000F6EBC">
              <w:rPr>
                <w:rFonts w:ascii="Arial" w:eastAsia="Times New Roman" w:hAnsi="Arial" w:cs="Arial"/>
                <w:b/>
                <w:bCs/>
                <w:color w:val="000000"/>
                <w:sz w:val="18"/>
                <w:szCs w:val="18"/>
                <w:lang w:eastAsia="en-ZA"/>
              </w:rPr>
              <w:t>-23.0 (-27.3 to -18.4)</w:t>
            </w:r>
          </w:p>
        </w:tc>
        <w:tc>
          <w:tcPr>
            <w:tcW w:w="1922" w:type="dxa"/>
            <w:tcBorders>
              <w:bottom w:val="single" w:sz="4" w:space="0" w:color="auto"/>
            </w:tcBorders>
            <w:vAlign w:val="bottom"/>
          </w:tcPr>
          <w:p w14:paraId="57F00B00" w14:textId="1366068E" w:rsidR="000F6EBC" w:rsidRPr="000F6EBC" w:rsidRDefault="00EF0307" w:rsidP="000F6EBC">
            <w:pPr>
              <w:jc w:val="center"/>
              <w:rPr>
                <w:rFonts w:ascii="Arial" w:eastAsia="Times New Roman" w:hAnsi="Arial" w:cs="Arial"/>
                <w:b/>
                <w:bCs/>
                <w:color w:val="000000"/>
                <w:sz w:val="18"/>
                <w:szCs w:val="18"/>
                <w:lang w:eastAsia="en-ZA"/>
              </w:rPr>
            </w:pPr>
            <w:r>
              <w:rPr>
                <w:rFonts w:ascii="Arial" w:eastAsia="Times New Roman" w:hAnsi="Arial" w:cs="Arial"/>
                <w:b/>
                <w:bCs/>
                <w:color w:val="000000"/>
                <w:sz w:val="18"/>
                <w:szCs w:val="18"/>
                <w:lang w:eastAsia="en-ZA"/>
              </w:rPr>
              <w:t>22.5 (&lt;0.0</w:t>
            </w:r>
            <w:r w:rsidR="000F6EBC" w:rsidRPr="000F6EBC">
              <w:rPr>
                <w:rFonts w:ascii="Arial" w:eastAsia="Times New Roman" w:hAnsi="Arial" w:cs="Arial"/>
                <w:b/>
                <w:bCs/>
                <w:color w:val="000000"/>
                <w:sz w:val="18"/>
                <w:szCs w:val="18"/>
                <w:lang w:eastAsia="en-ZA"/>
              </w:rPr>
              <w:t>1)</w:t>
            </w:r>
          </w:p>
        </w:tc>
      </w:tr>
    </w:tbl>
    <w:p w14:paraId="4FF8DE07" w14:textId="77777777" w:rsidR="000F6EBC" w:rsidRPr="000F6EBC" w:rsidRDefault="000F6EBC" w:rsidP="000F6EBC">
      <w:pPr>
        <w:spacing w:after="0"/>
        <w:rPr>
          <w:rFonts w:ascii="Arial" w:eastAsia="Calibri" w:hAnsi="Arial" w:cs="Arial"/>
          <w:color w:val="000000"/>
          <w:sz w:val="20"/>
          <w:szCs w:val="20"/>
          <w:lang w:val="en-US"/>
        </w:rPr>
      </w:pPr>
      <w:r w:rsidRPr="000F6EBC">
        <w:rPr>
          <w:rFonts w:ascii="Arial" w:eastAsia="Calibri" w:hAnsi="Arial" w:cs="Arial"/>
          <w:sz w:val="20"/>
          <w:szCs w:val="20"/>
          <w:lang w:val="en-US"/>
        </w:rPr>
        <w:t xml:space="preserve">Abbreviations: CI: confidence intervals; PCV: pneumococcal conjugate vaccine; PCV7 serotypes: </w:t>
      </w:r>
      <w:r w:rsidRPr="000F6EBC">
        <w:rPr>
          <w:rFonts w:ascii="Arial" w:eastAsia="Calibri" w:hAnsi="Arial" w:cs="Arial"/>
          <w:color w:val="000000"/>
          <w:sz w:val="20"/>
          <w:szCs w:val="20"/>
          <w:lang w:val="en-US"/>
        </w:rPr>
        <w:t>4, 6B, 9V, 14, 18C, 19F and 23F; Additional PCV13 serotypes: 1, 3, 5, 6A, 7F and 19A; Non-PCV13 serotypes: all serotype not in PCV13.</w:t>
      </w:r>
    </w:p>
    <w:p w14:paraId="196A8784" w14:textId="77777777" w:rsidR="000F6EBC" w:rsidRPr="000F6EBC" w:rsidRDefault="000F6EBC" w:rsidP="000F6EBC">
      <w:pPr>
        <w:spacing w:after="0"/>
        <w:rPr>
          <w:rFonts w:ascii="Arial" w:eastAsia="Calibri" w:hAnsi="Arial" w:cs="Arial"/>
          <w:sz w:val="20"/>
          <w:szCs w:val="20"/>
          <w:lang w:val="en-US"/>
        </w:rPr>
      </w:pPr>
      <w:r w:rsidRPr="000F6EBC">
        <w:rPr>
          <w:rFonts w:ascii="Arial" w:eastAsia="Calibri" w:hAnsi="Arial" w:cs="Arial"/>
          <w:sz w:val="20"/>
          <w:szCs w:val="20"/>
          <w:vertAlign w:val="superscript"/>
          <w:lang w:val="en-US"/>
        </w:rPr>
        <w:t xml:space="preserve">a </w:t>
      </w:r>
      <w:r w:rsidRPr="000F6EBC">
        <w:rPr>
          <w:rFonts w:ascii="Arial" w:eastAsia="Calibri" w:hAnsi="Arial" w:cs="Arial"/>
          <w:sz w:val="20"/>
          <w:szCs w:val="20"/>
          <w:lang w:val="en-US"/>
        </w:rPr>
        <w:t>Percentage effect difference calculated as the rate ratio of the interaction term for PCV period (2012 vs. 2005-2008) and syndrome (PM vs. tIPD) term minus 1 multiplied by 100</w:t>
      </w:r>
    </w:p>
    <w:p w14:paraId="26DD85AE" w14:textId="77777777" w:rsidR="000F6EBC" w:rsidRPr="000F6EBC" w:rsidRDefault="000F6EBC" w:rsidP="000F6EBC">
      <w:pPr>
        <w:spacing w:after="0"/>
        <w:rPr>
          <w:rFonts w:ascii="Arial" w:eastAsia="Calibri" w:hAnsi="Arial" w:cs="Arial"/>
          <w:sz w:val="20"/>
          <w:szCs w:val="20"/>
          <w:lang w:val="en-US"/>
        </w:rPr>
      </w:pPr>
      <w:r w:rsidRPr="000F6EBC">
        <w:rPr>
          <w:rFonts w:ascii="Arial" w:eastAsia="Calibri" w:hAnsi="Arial" w:cs="Arial"/>
          <w:sz w:val="20"/>
          <w:szCs w:val="20"/>
          <w:vertAlign w:val="superscript"/>
          <w:lang w:val="en-US"/>
        </w:rPr>
        <w:t xml:space="preserve">b </w:t>
      </w:r>
      <w:r w:rsidRPr="000F6EBC">
        <w:rPr>
          <w:rFonts w:ascii="Arial" w:eastAsia="Calibri" w:hAnsi="Arial" w:cs="Arial"/>
          <w:sz w:val="20"/>
          <w:szCs w:val="20"/>
          <w:lang w:val="en-US"/>
        </w:rPr>
        <w:t>Model adjusted by serotype groups: PCV7, additional PCV13 and non-PCV13 serotypes.</w:t>
      </w:r>
    </w:p>
    <w:p w14:paraId="1B5E3CEE" w14:textId="77777777" w:rsidR="000F6EBC" w:rsidRPr="000F6EBC" w:rsidRDefault="000F6EBC" w:rsidP="000F6EBC">
      <w:pPr>
        <w:spacing w:after="0"/>
        <w:rPr>
          <w:rFonts w:ascii="Arial" w:eastAsia="Calibri" w:hAnsi="Arial" w:cs="Arial"/>
          <w:sz w:val="20"/>
          <w:szCs w:val="20"/>
          <w:lang w:val="en-US"/>
        </w:rPr>
      </w:pPr>
      <w:r w:rsidRPr="000F6EBC">
        <w:rPr>
          <w:rFonts w:ascii="Arial" w:eastAsia="Calibri" w:hAnsi="Arial" w:cs="Arial"/>
          <w:sz w:val="20"/>
          <w:szCs w:val="20"/>
          <w:vertAlign w:val="superscript"/>
          <w:lang w:val="en-US"/>
        </w:rPr>
        <w:t xml:space="preserve">c </w:t>
      </w:r>
      <w:r w:rsidRPr="000F6EBC">
        <w:rPr>
          <w:rFonts w:ascii="Arial" w:eastAsia="Calibri" w:hAnsi="Arial" w:cs="Arial"/>
          <w:sz w:val="20"/>
          <w:szCs w:val="20"/>
          <w:lang w:val="en-US"/>
        </w:rPr>
        <w:t>Model adjusted by age groups: individuals &lt;5 and ≥5 years of age.</w:t>
      </w:r>
    </w:p>
    <w:p w14:paraId="09542C57" w14:textId="77777777" w:rsidR="000F6EBC" w:rsidRPr="000F6EBC" w:rsidRDefault="000F6EBC" w:rsidP="000F6EBC">
      <w:pPr>
        <w:spacing w:after="0"/>
        <w:rPr>
          <w:rFonts w:ascii="Arial" w:eastAsia="Calibri" w:hAnsi="Arial" w:cs="Arial"/>
          <w:sz w:val="20"/>
          <w:szCs w:val="20"/>
          <w:lang w:val="en-US"/>
        </w:rPr>
      </w:pPr>
      <w:r w:rsidRPr="000F6EBC">
        <w:rPr>
          <w:rFonts w:ascii="Arial" w:eastAsia="Calibri" w:hAnsi="Arial" w:cs="Arial"/>
          <w:sz w:val="20"/>
          <w:szCs w:val="20"/>
          <w:vertAlign w:val="superscript"/>
          <w:lang w:val="en-US"/>
        </w:rPr>
        <w:t xml:space="preserve">d </w:t>
      </w:r>
      <w:r w:rsidRPr="000F6EBC">
        <w:rPr>
          <w:rFonts w:ascii="Arial" w:eastAsia="Calibri" w:hAnsi="Arial" w:cs="Arial"/>
          <w:sz w:val="20"/>
          <w:szCs w:val="20"/>
          <w:lang w:val="en-US"/>
        </w:rPr>
        <w:t>Model adjusted by serotype and age groups.</w:t>
      </w:r>
    </w:p>
    <w:p w14:paraId="7D35A9B8" w14:textId="77777777" w:rsidR="000F6EBC" w:rsidRPr="000F6EBC" w:rsidRDefault="000F6EBC" w:rsidP="000F6EBC">
      <w:pPr>
        <w:rPr>
          <w:rFonts w:ascii="Arial" w:eastAsia="Calibri" w:hAnsi="Arial" w:cs="Arial"/>
          <w:sz w:val="20"/>
          <w:szCs w:val="20"/>
          <w:lang w:val="en-US"/>
        </w:rPr>
      </w:pPr>
      <w:r w:rsidRPr="000F6EBC">
        <w:rPr>
          <w:rFonts w:ascii="Arial" w:eastAsia="Calibri" w:hAnsi="Arial" w:cs="Arial"/>
          <w:sz w:val="20"/>
          <w:szCs w:val="20"/>
          <w:lang w:val="en-US"/>
        </w:rPr>
        <w:br w:type="page"/>
      </w:r>
    </w:p>
    <w:p w14:paraId="0EBCE6D1" w14:textId="4F0DC1CE" w:rsidR="000F6EBC" w:rsidRPr="000F6EBC" w:rsidRDefault="000F6EBC" w:rsidP="000F6EBC">
      <w:pPr>
        <w:spacing w:line="480" w:lineRule="auto"/>
        <w:jc w:val="both"/>
        <w:rPr>
          <w:rFonts w:ascii="Arial" w:eastAsia="Calibri" w:hAnsi="Arial" w:cs="Arial"/>
          <w:sz w:val="24"/>
          <w:szCs w:val="24"/>
          <w:lang w:val="en-US"/>
        </w:rPr>
      </w:pPr>
      <w:r w:rsidRPr="002A4FB6">
        <w:rPr>
          <w:rStyle w:val="Hyperlink"/>
          <w:rFonts w:ascii="Arial" w:hAnsi="Arial" w:cs="Arial"/>
          <w:b/>
          <w:sz w:val="24"/>
          <w:szCs w:val="24"/>
        </w:rPr>
        <w:lastRenderedPageBreak/>
        <w:t>Supplementary</w:t>
      </w:r>
      <w:r w:rsidRPr="000F6EBC">
        <w:rPr>
          <w:rFonts w:ascii="Arial" w:eastAsia="Calibri" w:hAnsi="Arial" w:cs="Arial"/>
          <w:b/>
          <w:sz w:val="24"/>
          <w:szCs w:val="24"/>
          <w:lang w:val="en-US"/>
        </w:rPr>
        <w:t xml:space="preserve"> Table </w:t>
      </w:r>
      <w:r>
        <w:rPr>
          <w:rFonts w:ascii="Arial" w:eastAsia="Calibri" w:hAnsi="Arial" w:cs="Arial"/>
          <w:b/>
          <w:sz w:val="24"/>
          <w:szCs w:val="24"/>
          <w:lang w:val="en-US"/>
        </w:rPr>
        <w:t>2</w:t>
      </w:r>
      <w:r w:rsidRPr="000F6EBC">
        <w:rPr>
          <w:rFonts w:ascii="Arial" w:eastAsia="Calibri" w:hAnsi="Arial" w:cs="Arial"/>
          <w:b/>
          <w:sz w:val="24"/>
          <w:szCs w:val="24"/>
          <w:lang w:val="en-US"/>
        </w:rPr>
        <w:t>.</w:t>
      </w:r>
      <w:r w:rsidRPr="000F6EBC">
        <w:rPr>
          <w:rFonts w:ascii="Arial" w:eastAsia="Calibri" w:hAnsi="Arial" w:cs="Arial"/>
          <w:sz w:val="24"/>
          <w:szCs w:val="24"/>
          <w:lang w:val="en-US"/>
        </w:rPr>
        <w:t xml:space="preserve"> Percentage difference in rates of total invasive pneumococcal disease (tIPD) and pneumococcal meningitis (PM) between 2005-2008 (pre-PCV introduction) and 2016 (post-PCV introduction) and percentage effect difference in rate changes between 2005-2008 and 2016 for PM compared to tIPD, South Africa, 2005-2016</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21"/>
        <w:gridCol w:w="1922"/>
        <w:gridCol w:w="1922"/>
      </w:tblGrid>
      <w:tr w:rsidR="000F6EBC" w:rsidRPr="000F6EBC" w14:paraId="5211C2FD" w14:textId="77777777" w:rsidTr="00DE007A">
        <w:tc>
          <w:tcPr>
            <w:tcW w:w="3261" w:type="dxa"/>
            <w:tcBorders>
              <w:top w:val="single" w:sz="4" w:space="0" w:color="auto"/>
              <w:bottom w:val="single" w:sz="4" w:space="0" w:color="auto"/>
            </w:tcBorders>
            <w:vAlign w:val="center"/>
          </w:tcPr>
          <w:p w14:paraId="7FEF93D9" w14:textId="77777777" w:rsidR="000F6EBC" w:rsidRPr="000F6EBC" w:rsidRDefault="000F6EBC" w:rsidP="000F6EBC">
            <w:pPr>
              <w:jc w:val="center"/>
              <w:rPr>
                <w:rFonts w:ascii="Arial" w:eastAsia="Calibri" w:hAnsi="Arial" w:cs="Arial"/>
                <w:b/>
                <w:sz w:val="18"/>
                <w:szCs w:val="18"/>
              </w:rPr>
            </w:pPr>
            <w:r w:rsidRPr="000F6EBC">
              <w:rPr>
                <w:rFonts w:ascii="Arial" w:eastAsia="Calibri" w:hAnsi="Arial" w:cs="Arial"/>
                <w:b/>
                <w:sz w:val="18"/>
                <w:szCs w:val="18"/>
              </w:rPr>
              <w:t>Serotype groups</w:t>
            </w:r>
          </w:p>
        </w:tc>
        <w:tc>
          <w:tcPr>
            <w:tcW w:w="1921" w:type="dxa"/>
            <w:tcBorders>
              <w:top w:val="single" w:sz="4" w:space="0" w:color="auto"/>
              <w:bottom w:val="single" w:sz="4" w:space="0" w:color="auto"/>
            </w:tcBorders>
            <w:vAlign w:val="center"/>
          </w:tcPr>
          <w:p w14:paraId="2507E751" w14:textId="77777777" w:rsidR="000F6EBC" w:rsidRPr="000F6EBC" w:rsidRDefault="000F6EBC" w:rsidP="000F6EBC">
            <w:pPr>
              <w:jc w:val="center"/>
              <w:rPr>
                <w:rFonts w:ascii="Arial" w:eastAsia="Calibri" w:hAnsi="Arial" w:cs="Arial"/>
                <w:b/>
                <w:sz w:val="18"/>
                <w:szCs w:val="18"/>
              </w:rPr>
            </w:pPr>
            <w:r w:rsidRPr="000F6EBC">
              <w:rPr>
                <w:rFonts w:ascii="Arial" w:eastAsia="Calibri" w:hAnsi="Arial" w:cs="Arial"/>
                <w:b/>
                <w:sz w:val="18"/>
                <w:szCs w:val="18"/>
              </w:rPr>
              <w:t>tIPD % difference</w:t>
            </w:r>
          </w:p>
          <w:p w14:paraId="3B41CF17" w14:textId="77777777" w:rsidR="000F6EBC" w:rsidRPr="000F6EBC" w:rsidRDefault="000F6EBC" w:rsidP="000F6EBC">
            <w:pPr>
              <w:jc w:val="center"/>
              <w:rPr>
                <w:rFonts w:ascii="Arial" w:eastAsia="Calibri" w:hAnsi="Arial" w:cs="Arial"/>
                <w:b/>
                <w:sz w:val="18"/>
                <w:szCs w:val="18"/>
              </w:rPr>
            </w:pPr>
            <w:r w:rsidRPr="000F6EBC">
              <w:rPr>
                <w:rFonts w:ascii="Arial" w:eastAsia="Calibri" w:hAnsi="Arial" w:cs="Arial"/>
                <w:b/>
                <w:sz w:val="18"/>
                <w:szCs w:val="18"/>
              </w:rPr>
              <w:t>(95% CI)</w:t>
            </w:r>
          </w:p>
        </w:tc>
        <w:tc>
          <w:tcPr>
            <w:tcW w:w="1922" w:type="dxa"/>
            <w:tcBorders>
              <w:top w:val="single" w:sz="4" w:space="0" w:color="auto"/>
              <w:bottom w:val="single" w:sz="4" w:space="0" w:color="auto"/>
            </w:tcBorders>
            <w:vAlign w:val="center"/>
          </w:tcPr>
          <w:p w14:paraId="66B275D4" w14:textId="77777777" w:rsidR="000F6EBC" w:rsidRPr="000F6EBC" w:rsidRDefault="000F6EBC" w:rsidP="000F6EBC">
            <w:pPr>
              <w:jc w:val="center"/>
              <w:rPr>
                <w:rFonts w:ascii="Arial" w:eastAsia="Calibri" w:hAnsi="Arial" w:cs="Arial"/>
                <w:b/>
                <w:sz w:val="18"/>
                <w:szCs w:val="18"/>
              </w:rPr>
            </w:pPr>
            <w:r w:rsidRPr="000F6EBC">
              <w:rPr>
                <w:rFonts w:ascii="Arial" w:eastAsia="Calibri" w:hAnsi="Arial" w:cs="Arial"/>
                <w:b/>
                <w:sz w:val="18"/>
                <w:szCs w:val="18"/>
              </w:rPr>
              <w:t>PM % difference</w:t>
            </w:r>
          </w:p>
          <w:p w14:paraId="675F2300" w14:textId="77777777" w:rsidR="000F6EBC" w:rsidRPr="000F6EBC" w:rsidRDefault="000F6EBC" w:rsidP="000F6EBC">
            <w:pPr>
              <w:jc w:val="center"/>
              <w:rPr>
                <w:rFonts w:ascii="Arial" w:eastAsia="Calibri" w:hAnsi="Arial" w:cs="Arial"/>
                <w:b/>
                <w:sz w:val="18"/>
                <w:szCs w:val="18"/>
              </w:rPr>
            </w:pPr>
            <w:r w:rsidRPr="000F6EBC">
              <w:rPr>
                <w:rFonts w:ascii="Arial" w:eastAsia="Calibri" w:hAnsi="Arial" w:cs="Arial"/>
                <w:b/>
                <w:sz w:val="18"/>
                <w:szCs w:val="18"/>
              </w:rPr>
              <w:t>(95% CI)</w:t>
            </w:r>
          </w:p>
        </w:tc>
        <w:tc>
          <w:tcPr>
            <w:tcW w:w="1922" w:type="dxa"/>
            <w:tcBorders>
              <w:top w:val="single" w:sz="4" w:space="0" w:color="auto"/>
              <w:bottom w:val="single" w:sz="4" w:space="0" w:color="auto"/>
            </w:tcBorders>
            <w:vAlign w:val="center"/>
          </w:tcPr>
          <w:p w14:paraId="47CEA0CC" w14:textId="77777777" w:rsidR="000F6EBC" w:rsidRPr="000F6EBC" w:rsidRDefault="000F6EBC" w:rsidP="000F6EBC">
            <w:pPr>
              <w:jc w:val="center"/>
              <w:rPr>
                <w:rFonts w:ascii="Arial" w:eastAsia="Calibri" w:hAnsi="Arial" w:cs="Arial"/>
                <w:b/>
                <w:sz w:val="18"/>
                <w:szCs w:val="18"/>
              </w:rPr>
            </w:pPr>
            <w:r w:rsidRPr="000F6EBC">
              <w:rPr>
                <w:rFonts w:ascii="Arial" w:eastAsia="Calibri" w:hAnsi="Arial" w:cs="Arial"/>
                <w:b/>
                <w:sz w:val="18"/>
                <w:szCs w:val="18"/>
              </w:rPr>
              <w:t>% effect difference</w:t>
            </w:r>
          </w:p>
          <w:p w14:paraId="5CFB9E3B" w14:textId="77777777" w:rsidR="000F6EBC" w:rsidRPr="000F6EBC" w:rsidRDefault="000F6EBC" w:rsidP="000F6EBC">
            <w:pPr>
              <w:jc w:val="center"/>
              <w:rPr>
                <w:rFonts w:ascii="Arial" w:eastAsia="Calibri" w:hAnsi="Arial" w:cs="Arial"/>
                <w:b/>
                <w:sz w:val="18"/>
                <w:szCs w:val="18"/>
                <w:vertAlign w:val="superscript"/>
              </w:rPr>
            </w:pPr>
            <w:r w:rsidRPr="000F6EBC">
              <w:rPr>
                <w:rFonts w:ascii="Arial" w:eastAsia="Calibri" w:hAnsi="Arial" w:cs="Arial"/>
                <w:b/>
                <w:sz w:val="18"/>
                <w:szCs w:val="18"/>
              </w:rPr>
              <w:t>PM vs. tIPD</w:t>
            </w:r>
            <w:r w:rsidRPr="000F6EBC">
              <w:rPr>
                <w:rFonts w:ascii="Arial" w:eastAsia="Calibri" w:hAnsi="Arial" w:cs="Arial"/>
                <w:b/>
                <w:sz w:val="18"/>
                <w:szCs w:val="18"/>
                <w:vertAlign w:val="superscript"/>
              </w:rPr>
              <w:t>a</w:t>
            </w:r>
          </w:p>
          <w:p w14:paraId="3BF21B65" w14:textId="77777777" w:rsidR="000F6EBC" w:rsidRPr="000F6EBC" w:rsidRDefault="000F6EBC" w:rsidP="000F6EBC">
            <w:pPr>
              <w:jc w:val="center"/>
              <w:rPr>
                <w:rFonts w:ascii="Arial" w:eastAsia="Calibri" w:hAnsi="Arial" w:cs="Arial"/>
                <w:b/>
                <w:sz w:val="18"/>
                <w:szCs w:val="18"/>
              </w:rPr>
            </w:pPr>
            <w:r w:rsidRPr="000F6EBC">
              <w:rPr>
                <w:rFonts w:ascii="Arial" w:eastAsia="Calibri" w:hAnsi="Arial" w:cs="Arial"/>
                <w:b/>
                <w:sz w:val="18"/>
                <w:szCs w:val="18"/>
              </w:rPr>
              <w:t>(p value)</w:t>
            </w:r>
          </w:p>
        </w:tc>
      </w:tr>
      <w:tr w:rsidR="000F6EBC" w:rsidRPr="000F6EBC" w14:paraId="502D9B1E" w14:textId="77777777" w:rsidTr="00DE007A">
        <w:tc>
          <w:tcPr>
            <w:tcW w:w="9026" w:type="dxa"/>
            <w:gridSpan w:val="4"/>
            <w:tcBorders>
              <w:top w:val="single" w:sz="4" w:space="0" w:color="auto"/>
              <w:bottom w:val="single" w:sz="4" w:space="0" w:color="auto"/>
            </w:tcBorders>
          </w:tcPr>
          <w:p w14:paraId="0E7240D3" w14:textId="77777777" w:rsidR="000F6EBC" w:rsidRPr="000F6EBC" w:rsidRDefault="000F6EBC" w:rsidP="000F6EBC">
            <w:pPr>
              <w:rPr>
                <w:rFonts w:ascii="Arial" w:eastAsia="Calibri" w:hAnsi="Arial" w:cs="Arial"/>
                <w:b/>
                <w:sz w:val="18"/>
                <w:szCs w:val="18"/>
              </w:rPr>
            </w:pPr>
            <w:r w:rsidRPr="000F6EBC">
              <w:rPr>
                <w:rFonts w:ascii="Arial" w:eastAsia="Calibri" w:hAnsi="Arial" w:cs="Arial"/>
                <w:b/>
                <w:sz w:val="18"/>
                <w:szCs w:val="18"/>
              </w:rPr>
              <w:t>Children aged &lt;5 years</w:t>
            </w:r>
          </w:p>
        </w:tc>
      </w:tr>
      <w:tr w:rsidR="000F6EBC" w:rsidRPr="000F6EBC" w14:paraId="33F1A28B" w14:textId="77777777" w:rsidTr="00DE007A">
        <w:tc>
          <w:tcPr>
            <w:tcW w:w="3261" w:type="dxa"/>
            <w:tcBorders>
              <w:top w:val="single" w:sz="4" w:space="0" w:color="auto"/>
            </w:tcBorders>
            <w:shd w:val="clear" w:color="auto" w:fill="F2F2F2"/>
          </w:tcPr>
          <w:p w14:paraId="00A4BE25" w14:textId="77777777" w:rsidR="000F6EBC" w:rsidRPr="000F6EBC" w:rsidRDefault="000F6EBC" w:rsidP="000F6EBC">
            <w:pPr>
              <w:rPr>
                <w:rFonts w:ascii="Arial" w:eastAsia="Calibri" w:hAnsi="Arial" w:cs="Arial"/>
                <w:sz w:val="18"/>
                <w:szCs w:val="18"/>
              </w:rPr>
            </w:pPr>
            <w:r w:rsidRPr="000F6EBC">
              <w:rPr>
                <w:rFonts w:ascii="Arial" w:eastAsia="Calibri" w:hAnsi="Arial" w:cs="Arial"/>
                <w:sz w:val="18"/>
                <w:szCs w:val="18"/>
              </w:rPr>
              <w:t xml:space="preserve">    PCV7 serotypes</w:t>
            </w:r>
          </w:p>
        </w:tc>
        <w:tc>
          <w:tcPr>
            <w:tcW w:w="1921" w:type="dxa"/>
            <w:tcBorders>
              <w:top w:val="single" w:sz="4" w:space="0" w:color="auto"/>
            </w:tcBorders>
            <w:shd w:val="clear" w:color="auto" w:fill="F2F2F2"/>
            <w:vAlign w:val="bottom"/>
          </w:tcPr>
          <w:p w14:paraId="4B1F48AA" w14:textId="77777777" w:rsidR="000F6EBC" w:rsidRPr="000F6EBC" w:rsidRDefault="000F6EBC" w:rsidP="000F6EBC">
            <w:pPr>
              <w:jc w:val="center"/>
              <w:rPr>
                <w:rFonts w:ascii="Arial" w:eastAsia="Times New Roman" w:hAnsi="Arial" w:cs="Arial"/>
                <w:b/>
                <w:bCs/>
                <w:color w:val="000000"/>
                <w:sz w:val="18"/>
                <w:szCs w:val="18"/>
                <w:lang w:eastAsia="en-ZA"/>
              </w:rPr>
            </w:pPr>
            <w:r w:rsidRPr="000F6EBC">
              <w:rPr>
                <w:rFonts w:ascii="Arial" w:eastAsia="Times New Roman" w:hAnsi="Arial" w:cs="Arial"/>
                <w:b/>
                <w:bCs/>
                <w:color w:val="000000"/>
                <w:sz w:val="18"/>
                <w:szCs w:val="18"/>
                <w:lang w:eastAsia="en-ZA"/>
              </w:rPr>
              <w:t>-95.5 (-96.6 to -93.9)</w:t>
            </w:r>
          </w:p>
        </w:tc>
        <w:tc>
          <w:tcPr>
            <w:tcW w:w="1922" w:type="dxa"/>
            <w:tcBorders>
              <w:top w:val="single" w:sz="4" w:space="0" w:color="auto"/>
            </w:tcBorders>
            <w:shd w:val="clear" w:color="auto" w:fill="F2F2F2"/>
            <w:vAlign w:val="bottom"/>
          </w:tcPr>
          <w:p w14:paraId="0A337695" w14:textId="77777777" w:rsidR="000F6EBC" w:rsidRPr="000F6EBC" w:rsidRDefault="000F6EBC" w:rsidP="000F6EBC">
            <w:pPr>
              <w:jc w:val="center"/>
              <w:rPr>
                <w:rFonts w:ascii="Arial" w:eastAsia="Times New Roman" w:hAnsi="Arial" w:cs="Arial"/>
                <w:b/>
                <w:bCs/>
                <w:color w:val="000000"/>
                <w:sz w:val="18"/>
                <w:szCs w:val="18"/>
                <w:lang w:eastAsia="en-ZA"/>
              </w:rPr>
            </w:pPr>
            <w:r w:rsidRPr="000F6EBC">
              <w:rPr>
                <w:rFonts w:ascii="Arial" w:eastAsia="Times New Roman" w:hAnsi="Arial" w:cs="Arial"/>
                <w:b/>
                <w:bCs/>
                <w:color w:val="000000"/>
                <w:sz w:val="18"/>
                <w:szCs w:val="18"/>
                <w:lang w:eastAsia="en-ZA"/>
              </w:rPr>
              <w:t>-96.5 (-98.0 to -93.9)</w:t>
            </w:r>
          </w:p>
        </w:tc>
        <w:tc>
          <w:tcPr>
            <w:tcW w:w="1922" w:type="dxa"/>
            <w:tcBorders>
              <w:top w:val="single" w:sz="4" w:space="0" w:color="auto"/>
            </w:tcBorders>
            <w:shd w:val="clear" w:color="auto" w:fill="F2F2F2"/>
            <w:vAlign w:val="bottom"/>
          </w:tcPr>
          <w:p w14:paraId="7358E261" w14:textId="1C109507" w:rsidR="000F6EBC" w:rsidRPr="000F6EBC" w:rsidRDefault="00EF0307" w:rsidP="000F6EBC">
            <w:pPr>
              <w:jc w:val="center"/>
              <w:rPr>
                <w:rFonts w:ascii="Arial" w:eastAsia="Times New Roman" w:hAnsi="Arial" w:cs="Arial"/>
                <w:color w:val="000000"/>
                <w:sz w:val="18"/>
                <w:szCs w:val="18"/>
                <w:lang w:eastAsia="en-ZA"/>
              </w:rPr>
            </w:pPr>
            <w:r>
              <w:rPr>
                <w:rFonts w:ascii="Arial" w:eastAsia="Times New Roman" w:hAnsi="Arial" w:cs="Arial"/>
                <w:color w:val="000000"/>
                <w:sz w:val="18"/>
                <w:szCs w:val="18"/>
                <w:lang w:eastAsia="en-ZA"/>
              </w:rPr>
              <w:t>-23.6 (0.41</w:t>
            </w:r>
            <w:r w:rsidR="000F6EBC" w:rsidRPr="000F6EBC">
              <w:rPr>
                <w:rFonts w:ascii="Arial" w:eastAsia="Times New Roman" w:hAnsi="Arial" w:cs="Arial"/>
                <w:color w:val="000000"/>
                <w:sz w:val="18"/>
                <w:szCs w:val="18"/>
                <w:lang w:eastAsia="en-ZA"/>
              </w:rPr>
              <w:t>)</w:t>
            </w:r>
          </w:p>
        </w:tc>
      </w:tr>
      <w:tr w:rsidR="000F6EBC" w:rsidRPr="000F6EBC" w14:paraId="51BDD4FB" w14:textId="77777777" w:rsidTr="00DE007A">
        <w:tc>
          <w:tcPr>
            <w:tcW w:w="3261" w:type="dxa"/>
          </w:tcPr>
          <w:p w14:paraId="57F57959" w14:textId="77777777" w:rsidR="000F6EBC" w:rsidRPr="000F6EBC" w:rsidRDefault="000F6EBC" w:rsidP="000F6EBC">
            <w:pPr>
              <w:rPr>
                <w:rFonts w:ascii="Arial" w:eastAsia="Calibri" w:hAnsi="Arial" w:cs="Arial"/>
                <w:sz w:val="18"/>
                <w:szCs w:val="18"/>
              </w:rPr>
            </w:pPr>
            <w:r w:rsidRPr="000F6EBC">
              <w:rPr>
                <w:rFonts w:ascii="Arial" w:eastAsia="Calibri" w:hAnsi="Arial" w:cs="Arial"/>
                <w:sz w:val="18"/>
                <w:szCs w:val="18"/>
              </w:rPr>
              <w:t xml:space="preserve">    Additional PCV13 serotypes</w:t>
            </w:r>
          </w:p>
        </w:tc>
        <w:tc>
          <w:tcPr>
            <w:tcW w:w="1921" w:type="dxa"/>
            <w:vAlign w:val="bottom"/>
          </w:tcPr>
          <w:p w14:paraId="7F3D36C7" w14:textId="77777777" w:rsidR="000F6EBC" w:rsidRPr="000F6EBC" w:rsidRDefault="000F6EBC" w:rsidP="000F6EBC">
            <w:pPr>
              <w:jc w:val="center"/>
              <w:rPr>
                <w:rFonts w:ascii="Arial" w:eastAsia="Times New Roman" w:hAnsi="Arial" w:cs="Arial"/>
                <w:b/>
                <w:bCs/>
                <w:color w:val="000000"/>
                <w:sz w:val="18"/>
                <w:szCs w:val="18"/>
                <w:lang w:eastAsia="en-ZA"/>
              </w:rPr>
            </w:pPr>
            <w:r w:rsidRPr="000F6EBC">
              <w:rPr>
                <w:rFonts w:ascii="Arial" w:eastAsia="Calibri" w:hAnsi="Arial" w:cs="Arial"/>
                <w:b/>
                <w:bCs/>
                <w:color w:val="000000"/>
                <w:sz w:val="18"/>
              </w:rPr>
              <w:t>-92.1 (-94.4 to -89.1)</w:t>
            </w:r>
          </w:p>
        </w:tc>
        <w:tc>
          <w:tcPr>
            <w:tcW w:w="1922" w:type="dxa"/>
            <w:vAlign w:val="bottom"/>
          </w:tcPr>
          <w:p w14:paraId="6A6B5C43" w14:textId="77777777" w:rsidR="000F6EBC" w:rsidRPr="000F6EBC" w:rsidRDefault="000F6EBC" w:rsidP="000F6EBC">
            <w:pPr>
              <w:jc w:val="center"/>
              <w:rPr>
                <w:rFonts w:ascii="Arial" w:eastAsia="Times New Roman" w:hAnsi="Arial" w:cs="Arial"/>
                <w:b/>
                <w:bCs/>
                <w:color w:val="000000"/>
                <w:sz w:val="18"/>
                <w:szCs w:val="18"/>
                <w:lang w:eastAsia="en-ZA"/>
              </w:rPr>
            </w:pPr>
            <w:r w:rsidRPr="000F6EBC">
              <w:rPr>
                <w:rFonts w:ascii="Arial" w:eastAsia="Calibri" w:hAnsi="Arial" w:cs="Arial"/>
                <w:b/>
                <w:bCs/>
                <w:color w:val="000000"/>
                <w:sz w:val="18"/>
              </w:rPr>
              <w:t>-94.4 (-97.3 to -88.2)</w:t>
            </w:r>
          </w:p>
        </w:tc>
        <w:tc>
          <w:tcPr>
            <w:tcW w:w="1922" w:type="dxa"/>
            <w:vAlign w:val="bottom"/>
          </w:tcPr>
          <w:p w14:paraId="33BF6CCD" w14:textId="73B63167" w:rsidR="000F6EBC" w:rsidRPr="000F6EBC" w:rsidRDefault="000F6EBC" w:rsidP="00EF0307">
            <w:pPr>
              <w:jc w:val="center"/>
              <w:rPr>
                <w:rFonts w:ascii="Arial" w:eastAsia="Times New Roman" w:hAnsi="Arial" w:cs="Arial"/>
                <w:color w:val="000000"/>
                <w:sz w:val="18"/>
                <w:szCs w:val="18"/>
                <w:lang w:eastAsia="en-ZA"/>
              </w:rPr>
            </w:pPr>
            <w:r w:rsidRPr="000F6EBC">
              <w:rPr>
                <w:rFonts w:ascii="Arial" w:eastAsia="Calibri" w:hAnsi="Arial" w:cs="Arial"/>
                <w:color w:val="000000"/>
                <w:sz w:val="18"/>
              </w:rPr>
              <w:t>-28.8 (0.4</w:t>
            </w:r>
            <w:r w:rsidR="00EF0307">
              <w:rPr>
                <w:rFonts w:ascii="Arial" w:eastAsia="Calibri" w:hAnsi="Arial" w:cs="Arial"/>
                <w:color w:val="000000"/>
                <w:sz w:val="18"/>
              </w:rPr>
              <w:t>2</w:t>
            </w:r>
            <w:r w:rsidRPr="000F6EBC">
              <w:rPr>
                <w:rFonts w:ascii="Arial" w:eastAsia="Calibri" w:hAnsi="Arial" w:cs="Arial"/>
                <w:color w:val="000000"/>
                <w:sz w:val="18"/>
              </w:rPr>
              <w:t>)</w:t>
            </w:r>
          </w:p>
        </w:tc>
      </w:tr>
      <w:tr w:rsidR="000F6EBC" w:rsidRPr="000F6EBC" w14:paraId="0013AB66" w14:textId="77777777" w:rsidTr="00DE007A">
        <w:tc>
          <w:tcPr>
            <w:tcW w:w="3261" w:type="dxa"/>
            <w:shd w:val="clear" w:color="auto" w:fill="F2F2F2"/>
          </w:tcPr>
          <w:p w14:paraId="7AA07939" w14:textId="77777777" w:rsidR="000F6EBC" w:rsidRPr="000F6EBC" w:rsidRDefault="000F6EBC" w:rsidP="000F6EBC">
            <w:pPr>
              <w:rPr>
                <w:rFonts w:ascii="Arial" w:eastAsia="Calibri" w:hAnsi="Arial" w:cs="Arial"/>
                <w:sz w:val="18"/>
                <w:szCs w:val="18"/>
              </w:rPr>
            </w:pPr>
            <w:r w:rsidRPr="000F6EBC">
              <w:rPr>
                <w:rFonts w:ascii="Arial" w:eastAsia="Calibri" w:hAnsi="Arial" w:cs="Arial"/>
                <w:sz w:val="18"/>
                <w:szCs w:val="18"/>
              </w:rPr>
              <w:t xml:space="preserve">    Non-PCV13 serotypes</w:t>
            </w:r>
          </w:p>
        </w:tc>
        <w:tc>
          <w:tcPr>
            <w:tcW w:w="1921" w:type="dxa"/>
            <w:shd w:val="clear" w:color="auto" w:fill="F2F2F2"/>
            <w:vAlign w:val="bottom"/>
          </w:tcPr>
          <w:p w14:paraId="795769F4" w14:textId="77777777" w:rsidR="000F6EBC" w:rsidRPr="000F6EBC" w:rsidRDefault="000F6EBC" w:rsidP="000F6EBC">
            <w:pPr>
              <w:jc w:val="center"/>
              <w:rPr>
                <w:rFonts w:ascii="Arial" w:eastAsia="Times New Roman" w:hAnsi="Arial" w:cs="Arial"/>
                <w:b/>
                <w:bCs/>
                <w:color w:val="000000"/>
                <w:sz w:val="18"/>
                <w:szCs w:val="18"/>
                <w:lang w:eastAsia="en-ZA"/>
              </w:rPr>
            </w:pPr>
            <w:r w:rsidRPr="000F6EBC">
              <w:rPr>
                <w:rFonts w:ascii="Arial" w:eastAsia="Times New Roman" w:hAnsi="Arial" w:cs="Arial"/>
                <w:b/>
                <w:bCs/>
                <w:color w:val="000000"/>
                <w:sz w:val="18"/>
                <w:szCs w:val="18"/>
                <w:lang w:eastAsia="en-ZA"/>
              </w:rPr>
              <w:t>29.3 (14.0 to 46.6)</w:t>
            </w:r>
          </w:p>
        </w:tc>
        <w:tc>
          <w:tcPr>
            <w:tcW w:w="1922" w:type="dxa"/>
            <w:shd w:val="clear" w:color="auto" w:fill="F2F2F2"/>
            <w:vAlign w:val="bottom"/>
          </w:tcPr>
          <w:p w14:paraId="2988A55C" w14:textId="77777777" w:rsidR="000F6EBC" w:rsidRPr="000F6EBC" w:rsidRDefault="000F6EBC" w:rsidP="000F6EBC">
            <w:pPr>
              <w:jc w:val="center"/>
              <w:rPr>
                <w:rFonts w:ascii="Arial" w:eastAsia="Times New Roman" w:hAnsi="Arial" w:cs="Arial"/>
                <w:b/>
                <w:bCs/>
                <w:color w:val="000000"/>
                <w:sz w:val="18"/>
                <w:szCs w:val="18"/>
                <w:lang w:eastAsia="en-ZA"/>
              </w:rPr>
            </w:pPr>
            <w:r w:rsidRPr="000F6EBC">
              <w:rPr>
                <w:rFonts w:ascii="Arial" w:eastAsia="Times New Roman" w:hAnsi="Arial" w:cs="Arial"/>
                <w:b/>
                <w:bCs/>
                <w:color w:val="000000"/>
                <w:sz w:val="18"/>
                <w:szCs w:val="18"/>
                <w:lang w:eastAsia="en-ZA"/>
              </w:rPr>
              <w:t>33.9 (8.9 to 64.5)</w:t>
            </w:r>
          </w:p>
        </w:tc>
        <w:tc>
          <w:tcPr>
            <w:tcW w:w="1922" w:type="dxa"/>
            <w:shd w:val="clear" w:color="auto" w:fill="F2F2F2"/>
            <w:vAlign w:val="bottom"/>
          </w:tcPr>
          <w:p w14:paraId="7A3C8DAA" w14:textId="02DFA465" w:rsidR="000F6EBC" w:rsidRPr="000F6EBC" w:rsidRDefault="000F6EBC" w:rsidP="00EF0307">
            <w:pPr>
              <w:jc w:val="center"/>
              <w:rPr>
                <w:rFonts w:ascii="Arial" w:eastAsia="Times New Roman" w:hAnsi="Arial" w:cs="Arial"/>
                <w:color w:val="000000"/>
                <w:sz w:val="18"/>
                <w:szCs w:val="18"/>
                <w:lang w:eastAsia="en-ZA"/>
              </w:rPr>
            </w:pPr>
            <w:r w:rsidRPr="000F6EBC">
              <w:rPr>
                <w:rFonts w:ascii="Arial" w:eastAsia="Times New Roman" w:hAnsi="Arial" w:cs="Arial"/>
                <w:color w:val="000000"/>
                <w:sz w:val="18"/>
                <w:szCs w:val="18"/>
                <w:lang w:eastAsia="en-ZA"/>
              </w:rPr>
              <w:t>3.5 (0.7</w:t>
            </w:r>
            <w:r w:rsidR="00EF0307">
              <w:rPr>
                <w:rFonts w:ascii="Arial" w:eastAsia="Times New Roman" w:hAnsi="Arial" w:cs="Arial"/>
                <w:color w:val="000000"/>
                <w:sz w:val="18"/>
                <w:szCs w:val="18"/>
                <w:lang w:eastAsia="en-ZA"/>
              </w:rPr>
              <w:t>8</w:t>
            </w:r>
            <w:r w:rsidRPr="000F6EBC">
              <w:rPr>
                <w:rFonts w:ascii="Arial" w:eastAsia="Times New Roman" w:hAnsi="Arial" w:cs="Arial"/>
                <w:color w:val="000000"/>
                <w:sz w:val="18"/>
                <w:szCs w:val="18"/>
                <w:lang w:eastAsia="en-ZA"/>
              </w:rPr>
              <w:t>)</w:t>
            </w:r>
          </w:p>
        </w:tc>
      </w:tr>
      <w:tr w:rsidR="000F6EBC" w:rsidRPr="000F6EBC" w14:paraId="7EC2BE89" w14:textId="77777777" w:rsidTr="00DE007A">
        <w:tc>
          <w:tcPr>
            <w:tcW w:w="3261" w:type="dxa"/>
            <w:tcBorders>
              <w:bottom w:val="single" w:sz="4" w:space="0" w:color="auto"/>
            </w:tcBorders>
          </w:tcPr>
          <w:p w14:paraId="0DA30641" w14:textId="77777777" w:rsidR="000F6EBC" w:rsidRPr="000F6EBC" w:rsidRDefault="000F6EBC" w:rsidP="000F6EBC">
            <w:pPr>
              <w:rPr>
                <w:rFonts w:ascii="Arial" w:eastAsia="Calibri" w:hAnsi="Arial" w:cs="Arial"/>
                <w:sz w:val="18"/>
                <w:szCs w:val="18"/>
              </w:rPr>
            </w:pPr>
            <w:r w:rsidRPr="000F6EBC">
              <w:rPr>
                <w:rFonts w:ascii="Arial" w:eastAsia="Calibri" w:hAnsi="Arial" w:cs="Arial"/>
                <w:sz w:val="18"/>
                <w:szCs w:val="18"/>
              </w:rPr>
              <w:t xml:space="preserve">    All serotypes</w:t>
            </w:r>
            <w:r w:rsidRPr="000F6EBC">
              <w:rPr>
                <w:rFonts w:ascii="Arial" w:eastAsia="Calibri" w:hAnsi="Arial" w:cs="Arial"/>
                <w:sz w:val="18"/>
                <w:szCs w:val="18"/>
                <w:vertAlign w:val="superscript"/>
              </w:rPr>
              <w:t>b</w:t>
            </w:r>
          </w:p>
        </w:tc>
        <w:tc>
          <w:tcPr>
            <w:tcW w:w="1921" w:type="dxa"/>
            <w:tcBorders>
              <w:bottom w:val="single" w:sz="4" w:space="0" w:color="auto"/>
            </w:tcBorders>
            <w:vAlign w:val="bottom"/>
          </w:tcPr>
          <w:p w14:paraId="4233A6CF" w14:textId="77777777" w:rsidR="000F6EBC" w:rsidRPr="000F6EBC" w:rsidRDefault="000F6EBC" w:rsidP="000F6EBC">
            <w:pPr>
              <w:jc w:val="center"/>
              <w:rPr>
                <w:rFonts w:ascii="Arial" w:eastAsia="Times New Roman" w:hAnsi="Arial" w:cs="Arial"/>
                <w:b/>
                <w:bCs/>
                <w:color w:val="000000"/>
                <w:sz w:val="18"/>
                <w:szCs w:val="18"/>
                <w:lang w:eastAsia="en-ZA"/>
              </w:rPr>
            </w:pPr>
            <w:r w:rsidRPr="000F6EBC">
              <w:rPr>
                <w:rFonts w:ascii="Arial" w:eastAsia="Times New Roman" w:hAnsi="Arial" w:cs="Arial"/>
                <w:b/>
                <w:bCs/>
                <w:color w:val="000000"/>
                <w:sz w:val="18"/>
                <w:szCs w:val="18"/>
                <w:lang w:eastAsia="en-ZA"/>
              </w:rPr>
              <w:t>-76.0 (-78.3 to -73.5)</w:t>
            </w:r>
          </w:p>
        </w:tc>
        <w:tc>
          <w:tcPr>
            <w:tcW w:w="1922" w:type="dxa"/>
            <w:tcBorders>
              <w:bottom w:val="single" w:sz="4" w:space="0" w:color="auto"/>
            </w:tcBorders>
            <w:vAlign w:val="bottom"/>
          </w:tcPr>
          <w:p w14:paraId="5293275D" w14:textId="77777777" w:rsidR="000F6EBC" w:rsidRPr="000F6EBC" w:rsidRDefault="000F6EBC" w:rsidP="000F6EBC">
            <w:pPr>
              <w:jc w:val="center"/>
              <w:rPr>
                <w:rFonts w:ascii="Arial" w:eastAsia="Times New Roman" w:hAnsi="Arial" w:cs="Arial"/>
                <w:b/>
                <w:bCs/>
                <w:color w:val="000000"/>
                <w:sz w:val="18"/>
                <w:szCs w:val="18"/>
                <w:lang w:eastAsia="en-ZA"/>
              </w:rPr>
            </w:pPr>
            <w:r w:rsidRPr="000F6EBC">
              <w:rPr>
                <w:rFonts w:ascii="Arial" w:eastAsia="Times New Roman" w:hAnsi="Arial" w:cs="Arial"/>
                <w:b/>
                <w:bCs/>
                <w:color w:val="000000"/>
                <w:sz w:val="18"/>
                <w:szCs w:val="18"/>
                <w:lang w:eastAsia="en-ZA"/>
              </w:rPr>
              <w:t>-74.7 (-78.7 to -70.0)</w:t>
            </w:r>
          </w:p>
        </w:tc>
        <w:tc>
          <w:tcPr>
            <w:tcW w:w="1922" w:type="dxa"/>
            <w:tcBorders>
              <w:bottom w:val="single" w:sz="4" w:space="0" w:color="auto"/>
            </w:tcBorders>
            <w:vAlign w:val="bottom"/>
          </w:tcPr>
          <w:p w14:paraId="7259EC14" w14:textId="15D6B9EE" w:rsidR="000F6EBC" w:rsidRPr="000F6EBC" w:rsidRDefault="000F6EBC" w:rsidP="00EF0307">
            <w:pPr>
              <w:jc w:val="center"/>
              <w:rPr>
                <w:rFonts w:ascii="Arial" w:eastAsia="Times New Roman" w:hAnsi="Arial" w:cs="Arial"/>
                <w:color w:val="000000"/>
                <w:sz w:val="18"/>
                <w:szCs w:val="18"/>
                <w:lang w:eastAsia="en-ZA"/>
              </w:rPr>
            </w:pPr>
            <w:r w:rsidRPr="000F6EBC">
              <w:rPr>
                <w:rFonts w:ascii="Arial" w:eastAsia="Times New Roman" w:hAnsi="Arial" w:cs="Arial"/>
                <w:color w:val="000000"/>
                <w:sz w:val="18"/>
                <w:szCs w:val="18"/>
                <w:lang w:eastAsia="en-ZA"/>
              </w:rPr>
              <w:t>5.4 (0.</w:t>
            </w:r>
            <w:r w:rsidR="00EF0307">
              <w:rPr>
                <w:rFonts w:ascii="Arial" w:eastAsia="Times New Roman" w:hAnsi="Arial" w:cs="Arial"/>
                <w:color w:val="000000"/>
                <w:sz w:val="18"/>
                <w:szCs w:val="18"/>
                <w:lang w:eastAsia="en-ZA"/>
              </w:rPr>
              <w:t>60</w:t>
            </w:r>
            <w:r w:rsidRPr="000F6EBC">
              <w:rPr>
                <w:rFonts w:ascii="Arial" w:eastAsia="Times New Roman" w:hAnsi="Arial" w:cs="Arial"/>
                <w:color w:val="000000"/>
                <w:sz w:val="18"/>
                <w:szCs w:val="18"/>
                <w:lang w:eastAsia="en-ZA"/>
              </w:rPr>
              <w:t>)</w:t>
            </w:r>
          </w:p>
        </w:tc>
      </w:tr>
      <w:tr w:rsidR="000F6EBC" w:rsidRPr="000F6EBC" w14:paraId="00F04BB0" w14:textId="77777777" w:rsidTr="00DE007A">
        <w:tc>
          <w:tcPr>
            <w:tcW w:w="9026" w:type="dxa"/>
            <w:gridSpan w:val="4"/>
            <w:tcBorders>
              <w:top w:val="single" w:sz="4" w:space="0" w:color="auto"/>
              <w:bottom w:val="single" w:sz="4" w:space="0" w:color="auto"/>
            </w:tcBorders>
          </w:tcPr>
          <w:p w14:paraId="101496F7" w14:textId="77777777" w:rsidR="000F6EBC" w:rsidRPr="000F6EBC" w:rsidRDefault="000F6EBC" w:rsidP="000F6EBC">
            <w:pPr>
              <w:rPr>
                <w:rFonts w:ascii="Arial" w:eastAsia="Calibri" w:hAnsi="Arial" w:cs="Arial"/>
                <w:b/>
                <w:sz w:val="18"/>
                <w:szCs w:val="18"/>
              </w:rPr>
            </w:pPr>
            <w:r w:rsidRPr="000F6EBC">
              <w:rPr>
                <w:rFonts w:ascii="Arial" w:eastAsia="Calibri" w:hAnsi="Arial" w:cs="Arial"/>
                <w:b/>
                <w:sz w:val="18"/>
                <w:szCs w:val="18"/>
              </w:rPr>
              <w:t>Individuals aged ≥5 years</w:t>
            </w:r>
          </w:p>
        </w:tc>
      </w:tr>
      <w:tr w:rsidR="000F6EBC" w:rsidRPr="000F6EBC" w14:paraId="38E39949" w14:textId="77777777" w:rsidTr="00DE007A">
        <w:tc>
          <w:tcPr>
            <w:tcW w:w="3261" w:type="dxa"/>
            <w:tcBorders>
              <w:top w:val="single" w:sz="4" w:space="0" w:color="auto"/>
            </w:tcBorders>
            <w:shd w:val="clear" w:color="auto" w:fill="F2F2F2"/>
          </w:tcPr>
          <w:p w14:paraId="1D945D21" w14:textId="77777777" w:rsidR="000F6EBC" w:rsidRPr="000F6EBC" w:rsidRDefault="000F6EBC" w:rsidP="000F6EBC">
            <w:pPr>
              <w:rPr>
                <w:rFonts w:ascii="Arial" w:eastAsia="Calibri" w:hAnsi="Arial" w:cs="Arial"/>
                <w:sz w:val="18"/>
                <w:szCs w:val="18"/>
              </w:rPr>
            </w:pPr>
            <w:r w:rsidRPr="000F6EBC">
              <w:rPr>
                <w:rFonts w:ascii="Arial" w:eastAsia="Calibri" w:hAnsi="Arial" w:cs="Arial"/>
                <w:sz w:val="18"/>
                <w:szCs w:val="18"/>
              </w:rPr>
              <w:t xml:space="preserve">    PCV7 serotypes</w:t>
            </w:r>
          </w:p>
        </w:tc>
        <w:tc>
          <w:tcPr>
            <w:tcW w:w="1921" w:type="dxa"/>
            <w:tcBorders>
              <w:top w:val="single" w:sz="4" w:space="0" w:color="auto"/>
            </w:tcBorders>
            <w:shd w:val="clear" w:color="auto" w:fill="F2F2F2"/>
            <w:vAlign w:val="bottom"/>
          </w:tcPr>
          <w:p w14:paraId="5FC58BB0" w14:textId="77777777" w:rsidR="000F6EBC" w:rsidRPr="000F6EBC" w:rsidRDefault="000F6EBC" w:rsidP="000F6EBC">
            <w:pPr>
              <w:jc w:val="center"/>
              <w:rPr>
                <w:rFonts w:ascii="Arial" w:eastAsia="Times New Roman" w:hAnsi="Arial" w:cs="Arial"/>
                <w:b/>
                <w:bCs/>
                <w:color w:val="000000"/>
                <w:sz w:val="18"/>
                <w:szCs w:val="18"/>
                <w:lang w:eastAsia="en-ZA"/>
              </w:rPr>
            </w:pPr>
            <w:r w:rsidRPr="000F6EBC">
              <w:rPr>
                <w:rFonts w:ascii="Arial" w:eastAsia="Times New Roman" w:hAnsi="Arial" w:cs="Arial"/>
                <w:b/>
                <w:bCs/>
                <w:color w:val="000000"/>
                <w:sz w:val="18"/>
                <w:szCs w:val="18"/>
                <w:lang w:eastAsia="en-ZA"/>
              </w:rPr>
              <w:t>-79.4 (-81.9 to -76.7)</w:t>
            </w:r>
          </w:p>
        </w:tc>
        <w:tc>
          <w:tcPr>
            <w:tcW w:w="1922" w:type="dxa"/>
            <w:tcBorders>
              <w:top w:val="single" w:sz="4" w:space="0" w:color="auto"/>
            </w:tcBorders>
            <w:shd w:val="clear" w:color="auto" w:fill="F2F2F2"/>
            <w:vAlign w:val="bottom"/>
          </w:tcPr>
          <w:p w14:paraId="388CB5F8" w14:textId="77777777" w:rsidR="000F6EBC" w:rsidRPr="000F6EBC" w:rsidRDefault="000F6EBC" w:rsidP="000F6EBC">
            <w:pPr>
              <w:jc w:val="center"/>
              <w:rPr>
                <w:rFonts w:ascii="Arial" w:eastAsia="Times New Roman" w:hAnsi="Arial" w:cs="Arial"/>
                <w:b/>
                <w:bCs/>
                <w:color w:val="000000"/>
                <w:sz w:val="18"/>
                <w:szCs w:val="18"/>
                <w:lang w:eastAsia="en-ZA"/>
              </w:rPr>
            </w:pPr>
            <w:r w:rsidRPr="000F6EBC">
              <w:rPr>
                <w:rFonts w:ascii="Arial" w:eastAsia="Times New Roman" w:hAnsi="Arial" w:cs="Arial"/>
                <w:b/>
                <w:bCs/>
                <w:color w:val="000000"/>
                <w:sz w:val="18"/>
                <w:szCs w:val="18"/>
                <w:lang w:eastAsia="en-ZA"/>
              </w:rPr>
              <w:t>-79.6 (-83.4 to -74.8)</w:t>
            </w:r>
          </w:p>
        </w:tc>
        <w:tc>
          <w:tcPr>
            <w:tcW w:w="1922" w:type="dxa"/>
            <w:tcBorders>
              <w:top w:val="single" w:sz="4" w:space="0" w:color="auto"/>
            </w:tcBorders>
            <w:shd w:val="clear" w:color="auto" w:fill="F2F2F2"/>
            <w:vAlign w:val="bottom"/>
          </w:tcPr>
          <w:p w14:paraId="092DB0C8" w14:textId="72FD0825" w:rsidR="000F6EBC" w:rsidRPr="000F6EBC" w:rsidRDefault="000F6EBC" w:rsidP="00EF0307">
            <w:pPr>
              <w:jc w:val="center"/>
              <w:rPr>
                <w:rFonts w:ascii="Arial" w:eastAsia="Times New Roman" w:hAnsi="Arial" w:cs="Arial"/>
                <w:color w:val="000000"/>
                <w:sz w:val="18"/>
                <w:szCs w:val="18"/>
                <w:lang w:eastAsia="en-ZA"/>
              </w:rPr>
            </w:pPr>
            <w:r w:rsidRPr="000F6EBC">
              <w:rPr>
                <w:rFonts w:ascii="Arial" w:eastAsia="Times New Roman" w:hAnsi="Arial" w:cs="Arial"/>
                <w:color w:val="000000"/>
                <w:sz w:val="18"/>
                <w:szCs w:val="18"/>
                <w:lang w:eastAsia="en-ZA"/>
              </w:rPr>
              <w:t>-0.6 (0.9</w:t>
            </w:r>
            <w:r w:rsidR="00EF0307">
              <w:rPr>
                <w:rFonts w:ascii="Arial" w:eastAsia="Times New Roman" w:hAnsi="Arial" w:cs="Arial"/>
                <w:color w:val="000000"/>
                <w:sz w:val="18"/>
                <w:szCs w:val="18"/>
                <w:lang w:eastAsia="en-ZA"/>
              </w:rPr>
              <w:t>6</w:t>
            </w:r>
            <w:r w:rsidRPr="000F6EBC">
              <w:rPr>
                <w:rFonts w:ascii="Arial" w:eastAsia="Times New Roman" w:hAnsi="Arial" w:cs="Arial"/>
                <w:color w:val="000000"/>
                <w:sz w:val="18"/>
                <w:szCs w:val="18"/>
                <w:lang w:eastAsia="en-ZA"/>
              </w:rPr>
              <w:t>)</w:t>
            </w:r>
          </w:p>
        </w:tc>
      </w:tr>
      <w:tr w:rsidR="000F6EBC" w:rsidRPr="000F6EBC" w14:paraId="30AA8A0A" w14:textId="77777777" w:rsidTr="00DE007A">
        <w:tc>
          <w:tcPr>
            <w:tcW w:w="3261" w:type="dxa"/>
          </w:tcPr>
          <w:p w14:paraId="0E7C5AF1" w14:textId="77777777" w:rsidR="000F6EBC" w:rsidRPr="000F6EBC" w:rsidRDefault="000F6EBC" w:rsidP="000F6EBC">
            <w:pPr>
              <w:rPr>
                <w:rFonts w:ascii="Arial" w:eastAsia="Calibri" w:hAnsi="Arial" w:cs="Arial"/>
                <w:sz w:val="18"/>
                <w:szCs w:val="18"/>
              </w:rPr>
            </w:pPr>
            <w:r w:rsidRPr="000F6EBC">
              <w:rPr>
                <w:rFonts w:ascii="Arial" w:eastAsia="Calibri" w:hAnsi="Arial" w:cs="Arial"/>
                <w:sz w:val="18"/>
                <w:szCs w:val="18"/>
              </w:rPr>
              <w:t xml:space="preserve">    Additional PCV13 serotypes</w:t>
            </w:r>
          </w:p>
        </w:tc>
        <w:tc>
          <w:tcPr>
            <w:tcW w:w="1921" w:type="dxa"/>
            <w:vAlign w:val="bottom"/>
          </w:tcPr>
          <w:p w14:paraId="53B985B9" w14:textId="77777777" w:rsidR="000F6EBC" w:rsidRPr="000F6EBC" w:rsidRDefault="000F6EBC" w:rsidP="000F6EBC">
            <w:pPr>
              <w:jc w:val="center"/>
              <w:rPr>
                <w:rFonts w:ascii="Arial" w:eastAsia="Times New Roman" w:hAnsi="Arial" w:cs="Arial"/>
                <w:b/>
                <w:bCs/>
                <w:color w:val="000000"/>
                <w:sz w:val="18"/>
                <w:szCs w:val="18"/>
                <w:lang w:eastAsia="en-ZA"/>
              </w:rPr>
            </w:pPr>
            <w:r w:rsidRPr="000F6EBC">
              <w:rPr>
                <w:rFonts w:ascii="Arial" w:eastAsia="Calibri" w:hAnsi="Arial" w:cs="Arial"/>
                <w:b/>
                <w:bCs/>
                <w:color w:val="000000"/>
                <w:sz w:val="18"/>
              </w:rPr>
              <w:t>-70.3 (-73.1 to -67.1)</w:t>
            </w:r>
          </w:p>
        </w:tc>
        <w:tc>
          <w:tcPr>
            <w:tcW w:w="1922" w:type="dxa"/>
            <w:vAlign w:val="bottom"/>
          </w:tcPr>
          <w:p w14:paraId="0F4BF090" w14:textId="77777777" w:rsidR="000F6EBC" w:rsidRPr="000F6EBC" w:rsidRDefault="000F6EBC" w:rsidP="000F6EBC">
            <w:pPr>
              <w:jc w:val="center"/>
              <w:rPr>
                <w:rFonts w:ascii="Arial" w:eastAsia="Times New Roman" w:hAnsi="Arial" w:cs="Arial"/>
                <w:b/>
                <w:bCs/>
                <w:color w:val="000000"/>
                <w:sz w:val="18"/>
                <w:szCs w:val="18"/>
                <w:lang w:eastAsia="en-ZA"/>
              </w:rPr>
            </w:pPr>
            <w:r w:rsidRPr="000F6EBC">
              <w:rPr>
                <w:rFonts w:ascii="Arial" w:eastAsia="Calibri" w:hAnsi="Arial" w:cs="Arial"/>
                <w:b/>
                <w:bCs/>
                <w:color w:val="000000"/>
                <w:sz w:val="18"/>
              </w:rPr>
              <w:t>-78.5 (-82.6 to -73.3)</w:t>
            </w:r>
          </w:p>
        </w:tc>
        <w:tc>
          <w:tcPr>
            <w:tcW w:w="1922" w:type="dxa"/>
            <w:vAlign w:val="bottom"/>
          </w:tcPr>
          <w:p w14:paraId="6F587C6E" w14:textId="37E576AA" w:rsidR="000F6EBC" w:rsidRPr="000F6EBC" w:rsidRDefault="000F6EBC" w:rsidP="00EF0307">
            <w:pPr>
              <w:jc w:val="center"/>
              <w:rPr>
                <w:rFonts w:ascii="Arial" w:eastAsia="Times New Roman" w:hAnsi="Arial" w:cs="Arial"/>
                <w:b/>
                <w:color w:val="000000"/>
                <w:sz w:val="18"/>
                <w:szCs w:val="18"/>
                <w:lang w:eastAsia="en-ZA"/>
              </w:rPr>
            </w:pPr>
            <w:r w:rsidRPr="000F6EBC">
              <w:rPr>
                <w:rFonts w:ascii="Arial" w:eastAsia="Calibri" w:hAnsi="Arial" w:cs="Arial"/>
                <w:b/>
                <w:bCs/>
                <w:color w:val="000000"/>
                <w:sz w:val="18"/>
              </w:rPr>
              <w:t>-27.6 (0.0</w:t>
            </w:r>
            <w:r w:rsidR="00EF0307">
              <w:rPr>
                <w:rFonts w:ascii="Arial" w:eastAsia="Calibri" w:hAnsi="Arial" w:cs="Arial"/>
                <w:b/>
                <w:bCs/>
                <w:color w:val="000000"/>
                <w:sz w:val="18"/>
              </w:rPr>
              <w:t>1</w:t>
            </w:r>
            <w:r w:rsidRPr="000F6EBC">
              <w:rPr>
                <w:rFonts w:ascii="Arial" w:eastAsia="Calibri" w:hAnsi="Arial" w:cs="Arial"/>
                <w:b/>
                <w:bCs/>
                <w:color w:val="000000"/>
                <w:sz w:val="18"/>
              </w:rPr>
              <w:t>)</w:t>
            </w:r>
          </w:p>
        </w:tc>
      </w:tr>
      <w:tr w:rsidR="000F6EBC" w:rsidRPr="000F6EBC" w14:paraId="6FC3648C" w14:textId="77777777" w:rsidTr="00DE007A">
        <w:tc>
          <w:tcPr>
            <w:tcW w:w="3261" w:type="dxa"/>
            <w:shd w:val="clear" w:color="auto" w:fill="F2F2F2"/>
          </w:tcPr>
          <w:p w14:paraId="197E61B3" w14:textId="77777777" w:rsidR="000F6EBC" w:rsidRPr="000F6EBC" w:rsidRDefault="000F6EBC" w:rsidP="000F6EBC">
            <w:pPr>
              <w:rPr>
                <w:rFonts w:ascii="Arial" w:eastAsia="Calibri" w:hAnsi="Arial" w:cs="Arial"/>
                <w:sz w:val="18"/>
                <w:szCs w:val="18"/>
              </w:rPr>
            </w:pPr>
            <w:r w:rsidRPr="000F6EBC">
              <w:rPr>
                <w:rFonts w:ascii="Arial" w:eastAsia="Calibri" w:hAnsi="Arial" w:cs="Arial"/>
                <w:sz w:val="18"/>
                <w:szCs w:val="18"/>
              </w:rPr>
              <w:t xml:space="preserve">    Non-PCV13 serotypes</w:t>
            </w:r>
          </w:p>
        </w:tc>
        <w:tc>
          <w:tcPr>
            <w:tcW w:w="1921" w:type="dxa"/>
            <w:shd w:val="clear" w:color="auto" w:fill="F2F2F2"/>
            <w:vAlign w:val="bottom"/>
          </w:tcPr>
          <w:p w14:paraId="2076CF1F" w14:textId="77777777" w:rsidR="000F6EBC" w:rsidRPr="000F6EBC" w:rsidRDefault="000F6EBC" w:rsidP="000F6EBC">
            <w:pPr>
              <w:jc w:val="center"/>
              <w:rPr>
                <w:rFonts w:ascii="Arial" w:eastAsia="Times New Roman" w:hAnsi="Arial" w:cs="Arial"/>
                <w:b/>
                <w:bCs/>
                <w:color w:val="000000"/>
                <w:sz w:val="18"/>
                <w:szCs w:val="18"/>
                <w:lang w:eastAsia="en-ZA"/>
              </w:rPr>
            </w:pPr>
            <w:r w:rsidRPr="000F6EBC">
              <w:rPr>
                <w:rFonts w:ascii="Arial" w:eastAsia="Times New Roman" w:hAnsi="Arial" w:cs="Arial"/>
                <w:b/>
                <w:bCs/>
                <w:color w:val="000000"/>
                <w:sz w:val="18"/>
                <w:szCs w:val="18"/>
                <w:lang w:eastAsia="en-ZA"/>
              </w:rPr>
              <w:t>26.3 (18.7 to 34.3)</w:t>
            </w:r>
          </w:p>
        </w:tc>
        <w:tc>
          <w:tcPr>
            <w:tcW w:w="1922" w:type="dxa"/>
            <w:shd w:val="clear" w:color="auto" w:fill="F2F2F2"/>
            <w:vAlign w:val="bottom"/>
          </w:tcPr>
          <w:p w14:paraId="08F4897E" w14:textId="77777777" w:rsidR="000F6EBC" w:rsidRPr="000F6EBC" w:rsidRDefault="000F6EBC" w:rsidP="000F6EBC">
            <w:pPr>
              <w:jc w:val="center"/>
              <w:rPr>
                <w:rFonts w:ascii="Arial" w:eastAsia="Times New Roman" w:hAnsi="Arial" w:cs="Arial"/>
                <w:b/>
                <w:bCs/>
                <w:color w:val="000000"/>
                <w:sz w:val="18"/>
                <w:szCs w:val="18"/>
                <w:lang w:eastAsia="en-ZA"/>
              </w:rPr>
            </w:pPr>
            <w:r w:rsidRPr="000F6EBC">
              <w:rPr>
                <w:rFonts w:ascii="Arial" w:eastAsia="Times New Roman" w:hAnsi="Arial" w:cs="Arial"/>
                <w:b/>
                <w:bCs/>
                <w:color w:val="000000"/>
                <w:sz w:val="18"/>
                <w:szCs w:val="18"/>
                <w:lang w:eastAsia="en-ZA"/>
              </w:rPr>
              <w:t>17.5 (6.6 to 29.6)</w:t>
            </w:r>
          </w:p>
        </w:tc>
        <w:tc>
          <w:tcPr>
            <w:tcW w:w="1922" w:type="dxa"/>
            <w:shd w:val="clear" w:color="auto" w:fill="F2F2F2"/>
            <w:vAlign w:val="bottom"/>
          </w:tcPr>
          <w:p w14:paraId="284B6737" w14:textId="702AC490" w:rsidR="000F6EBC" w:rsidRPr="000F6EBC" w:rsidRDefault="000F6EBC" w:rsidP="00EF0307">
            <w:pPr>
              <w:jc w:val="center"/>
              <w:rPr>
                <w:rFonts w:ascii="Arial" w:eastAsia="Times New Roman" w:hAnsi="Arial" w:cs="Arial"/>
                <w:color w:val="000000"/>
                <w:sz w:val="18"/>
                <w:szCs w:val="18"/>
                <w:lang w:eastAsia="en-ZA"/>
              </w:rPr>
            </w:pPr>
            <w:r w:rsidRPr="000F6EBC">
              <w:rPr>
                <w:rFonts w:ascii="Arial" w:eastAsia="Times New Roman" w:hAnsi="Arial" w:cs="Arial"/>
                <w:color w:val="000000"/>
                <w:sz w:val="18"/>
                <w:szCs w:val="18"/>
                <w:lang w:eastAsia="en-ZA"/>
              </w:rPr>
              <w:t>-6.9 (0.2</w:t>
            </w:r>
            <w:r w:rsidR="00EF0307">
              <w:rPr>
                <w:rFonts w:ascii="Arial" w:eastAsia="Times New Roman" w:hAnsi="Arial" w:cs="Arial"/>
                <w:color w:val="000000"/>
                <w:sz w:val="18"/>
                <w:szCs w:val="18"/>
                <w:lang w:eastAsia="en-ZA"/>
              </w:rPr>
              <w:t>3</w:t>
            </w:r>
            <w:r w:rsidRPr="000F6EBC">
              <w:rPr>
                <w:rFonts w:ascii="Arial" w:eastAsia="Times New Roman" w:hAnsi="Arial" w:cs="Arial"/>
                <w:color w:val="000000"/>
                <w:sz w:val="18"/>
                <w:szCs w:val="18"/>
                <w:lang w:eastAsia="en-ZA"/>
              </w:rPr>
              <w:t>)</w:t>
            </w:r>
          </w:p>
        </w:tc>
      </w:tr>
      <w:tr w:rsidR="000F6EBC" w:rsidRPr="000F6EBC" w14:paraId="6B61539F" w14:textId="77777777" w:rsidTr="00DE007A">
        <w:tc>
          <w:tcPr>
            <w:tcW w:w="3261" w:type="dxa"/>
            <w:tcBorders>
              <w:bottom w:val="single" w:sz="4" w:space="0" w:color="auto"/>
            </w:tcBorders>
          </w:tcPr>
          <w:p w14:paraId="35F53836" w14:textId="77777777" w:rsidR="000F6EBC" w:rsidRPr="000F6EBC" w:rsidRDefault="000F6EBC" w:rsidP="000F6EBC">
            <w:pPr>
              <w:rPr>
                <w:rFonts w:ascii="Arial" w:eastAsia="Calibri" w:hAnsi="Arial" w:cs="Arial"/>
                <w:sz w:val="18"/>
                <w:szCs w:val="18"/>
              </w:rPr>
            </w:pPr>
            <w:r w:rsidRPr="000F6EBC">
              <w:rPr>
                <w:rFonts w:ascii="Arial" w:eastAsia="Calibri" w:hAnsi="Arial" w:cs="Arial"/>
                <w:sz w:val="18"/>
                <w:szCs w:val="18"/>
              </w:rPr>
              <w:t xml:space="preserve">    All serotypes</w:t>
            </w:r>
            <w:r w:rsidRPr="000F6EBC">
              <w:rPr>
                <w:rFonts w:ascii="Arial" w:eastAsia="Calibri" w:hAnsi="Arial" w:cs="Arial"/>
                <w:sz w:val="18"/>
                <w:szCs w:val="18"/>
                <w:vertAlign w:val="superscript"/>
              </w:rPr>
              <w:t>b</w:t>
            </w:r>
          </w:p>
        </w:tc>
        <w:tc>
          <w:tcPr>
            <w:tcW w:w="1921" w:type="dxa"/>
            <w:tcBorders>
              <w:bottom w:val="single" w:sz="4" w:space="0" w:color="auto"/>
            </w:tcBorders>
            <w:vAlign w:val="bottom"/>
          </w:tcPr>
          <w:p w14:paraId="1B7A3215" w14:textId="77777777" w:rsidR="000F6EBC" w:rsidRPr="000F6EBC" w:rsidRDefault="000F6EBC" w:rsidP="000F6EBC">
            <w:pPr>
              <w:jc w:val="center"/>
              <w:rPr>
                <w:rFonts w:ascii="Arial" w:eastAsia="Times New Roman" w:hAnsi="Arial" w:cs="Arial"/>
                <w:b/>
                <w:bCs/>
                <w:color w:val="000000"/>
                <w:sz w:val="18"/>
                <w:szCs w:val="18"/>
                <w:lang w:eastAsia="en-ZA"/>
              </w:rPr>
            </w:pPr>
            <w:r w:rsidRPr="000F6EBC">
              <w:rPr>
                <w:rFonts w:ascii="Arial" w:eastAsia="Times New Roman" w:hAnsi="Arial" w:cs="Arial"/>
                <w:b/>
                <w:bCs/>
                <w:color w:val="000000"/>
                <w:sz w:val="18"/>
                <w:szCs w:val="18"/>
                <w:lang w:eastAsia="en-ZA"/>
              </w:rPr>
              <w:t>-44.7 (-47.3 to -42.1)</w:t>
            </w:r>
          </w:p>
        </w:tc>
        <w:tc>
          <w:tcPr>
            <w:tcW w:w="1922" w:type="dxa"/>
            <w:tcBorders>
              <w:bottom w:val="single" w:sz="4" w:space="0" w:color="auto"/>
            </w:tcBorders>
            <w:vAlign w:val="bottom"/>
          </w:tcPr>
          <w:p w14:paraId="39E00787" w14:textId="77777777" w:rsidR="000F6EBC" w:rsidRPr="000F6EBC" w:rsidRDefault="000F6EBC" w:rsidP="000F6EBC">
            <w:pPr>
              <w:jc w:val="center"/>
              <w:rPr>
                <w:rFonts w:ascii="Arial" w:eastAsia="Times New Roman" w:hAnsi="Arial" w:cs="Arial"/>
                <w:b/>
                <w:bCs/>
                <w:color w:val="000000"/>
                <w:sz w:val="18"/>
                <w:szCs w:val="18"/>
                <w:lang w:eastAsia="en-ZA"/>
              </w:rPr>
            </w:pPr>
            <w:r w:rsidRPr="000F6EBC">
              <w:rPr>
                <w:rFonts w:ascii="Arial" w:eastAsia="Times New Roman" w:hAnsi="Arial" w:cs="Arial"/>
                <w:b/>
                <w:bCs/>
                <w:color w:val="000000"/>
                <w:sz w:val="18"/>
                <w:szCs w:val="18"/>
                <w:lang w:eastAsia="en-ZA"/>
              </w:rPr>
              <w:t>-45.7 (-49.8 to -41.3)</w:t>
            </w:r>
          </w:p>
        </w:tc>
        <w:tc>
          <w:tcPr>
            <w:tcW w:w="1922" w:type="dxa"/>
            <w:tcBorders>
              <w:bottom w:val="single" w:sz="4" w:space="0" w:color="auto"/>
            </w:tcBorders>
            <w:vAlign w:val="bottom"/>
          </w:tcPr>
          <w:p w14:paraId="628D8CD9" w14:textId="63FF75F9" w:rsidR="000F6EBC" w:rsidRPr="000F6EBC" w:rsidRDefault="000F6EBC" w:rsidP="00EF0307">
            <w:pPr>
              <w:jc w:val="center"/>
              <w:rPr>
                <w:rFonts w:ascii="Arial" w:eastAsia="Times New Roman" w:hAnsi="Arial" w:cs="Arial"/>
                <w:color w:val="000000"/>
                <w:sz w:val="18"/>
                <w:szCs w:val="18"/>
                <w:lang w:eastAsia="en-ZA"/>
              </w:rPr>
            </w:pPr>
            <w:r w:rsidRPr="000F6EBC">
              <w:rPr>
                <w:rFonts w:ascii="Arial" w:eastAsia="Times New Roman" w:hAnsi="Arial" w:cs="Arial"/>
                <w:color w:val="000000"/>
                <w:sz w:val="18"/>
                <w:szCs w:val="18"/>
                <w:lang w:eastAsia="en-ZA"/>
              </w:rPr>
              <w:t>-1.7 (0.7</w:t>
            </w:r>
            <w:r w:rsidR="00EF0307">
              <w:rPr>
                <w:rFonts w:ascii="Arial" w:eastAsia="Times New Roman" w:hAnsi="Arial" w:cs="Arial"/>
                <w:color w:val="000000"/>
                <w:sz w:val="18"/>
                <w:szCs w:val="18"/>
                <w:lang w:eastAsia="en-ZA"/>
              </w:rPr>
              <w:t>1</w:t>
            </w:r>
            <w:r w:rsidRPr="000F6EBC">
              <w:rPr>
                <w:rFonts w:ascii="Arial" w:eastAsia="Times New Roman" w:hAnsi="Arial" w:cs="Arial"/>
                <w:color w:val="000000"/>
                <w:sz w:val="18"/>
                <w:szCs w:val="18"/>
                <w:lang w:eastAsia="en-ZA"/>
              </w:rPr>
              <w:t>)</w:t>
            </w:r>
          </w:p>
        </w:tc>
      </w:tr>
      <w:tr w:rsidR="000F6EBC" w:rsidRPr="000F6EBC" w14:paraId="01685797" w14:textId="77777777" w:rsidTr="00DE007A">
        <w:tc>
          <w:tcPr>
            <w:tcW w:w="9026" w:type="dxa"/>
            <w:gridSpan w:val="4"/>
            <w:tcBorders>
              <w:top w:val="single" w:sz="4" w:space="0" w:color="auto"/>
              <w:bottom w:val="single" w:sz="4" w:space="0" w:color="auto"/>
            </w:tcBorders>
          </w:tcPr>
          <w:p w14:paraId="0FD1DF18" w14:textId="77777777" w:rsidR="000F6EBC" w:rsidRPr="000F6EBC" w:rsidRDefault="000F6EBC" w:rsidP="000F6EBC">
            <w:pPr>
              <w:rPr>
                <w:rFonts w:ascii="Arial" w:eastAsia="Calibri" w:hAnsi="Arial" w:cs="Arial"/>
                <w:b/>
                <w:sz w:val="18"/>
                <w:szCs w:val="18"/>
              </w:rPr>
            </w:pPr>
            <w:r w:rsidRPr="000F6EBC">
              <w:rPr>
                <w:rFonts w:ascii="Arial" w:eastAsia="Calibri" w:hAnsi="Arial" w:cs="Arial"/>
                <w:b/>
                <w:sz w:val="18"/>
                <w:szCs w:val="18"/>
              </w:rPr>
              <w:t>Individuals of all ages</w:t>
            </w:r>
          </w:p>
        </w:tc>
      </w:tr>
      <w:tr w:rsidR="000F6EBC" w:rsidRPr="000F6EBC" w14:paraId="17065219" w14:textId="77777777" w:rsidTr="00DE007A">
        <w:tc>
          <w:tcPr>
            <w:tcW w:w="3261" w:type="dxa"/>
            <w:tcBorders>
              <w:top w:val="single" w:sz="4" w:space="0" w:color="auto"/>
            </w:tcBorders>
            <w:shd w:val="clear" w:color="auto" w:fill="F2F2F2"/>
          </w:tcPr>
          <w:p w14:paraId="1AF4F45B" w14:textId="77777777" w:rsidR="000F6EBC" w:rsidRPr="000F6EBC" w:rsidRDefault="000F6EBC" w:rsidP="000F6EBC">
            <w:pPr>
              <w:rPr>
                <w:rFonts w:ascii="Arial" w:eastAsia="Calibri" w:hAnsi="Arial" w:cs="Arial"/>
                <w:sz w:val="18"/>
                <w:szCs w:val="18"/>
              </w:rPr>
            </w:pPr>
            <w:r w:rsidRPr="000F6EBC">
              <w:rPr>
                <w:rFonts w:ascii="Arial" w:eastAsia="Calibri" w:hAnsi="Arial" w:cs="Arial"/>
                <w:sz w:val="18"/>
                <w:szCs w:val="18"/>
              </w:rPr>
              <w:t xml:space="preserve">    PCV7 serotypes</w:t>
            </w:r>
            <w:r w:rsidRPr="000F6EBC">
              <w:rPr>
                <w:rFonts w:ascii="Arial" w:eastAsia="Calibri" w:hAnsi="Arial" w:cs="Arial"/>
                <w:sz w:val="18"/>
                <w:szCs w:val="18"/>
                <w:vertAlign w:val="superscript"/>
              </w:rPr>
              <w:t>c</w:t>
            </w:r>
          </w:p>
        </w:tc>
        <w:tc>
          <w:tcPr>
            <w:tcW w:w="1921" w:type="dxa"/>
            <w:tcBorders>
              <w:top w:val="single" w:sz="4" w:space="0" w:color="auto"/>
            </w:tcBorders>
            <w:shd w:val="clear" w:color="auto" w:fill="F2F2F2"/>
            <w:vAlign w:val="bottom"/>
          </w:tcPr>
          <w:p w14:paraId="424EF8E3" w14:textId="77777777" w:rsidR="000F6EBC" w:rsidRPr="000F6EBC" w:rsidRDefault="000F6EBC" w:rsidP="000F6EBC">
            <w:pPr>
              <w:jc w:val="center"/>
              <w:rPr>
                <w:rFonts w:ascii="Arial" w:eastAsia="Times New Roman" w:hAnsi="Arial" w:cs="Arial"/>
                <w:b/>
                <w:bCs/>
                <w:color w:val="000000"/>
                <w:sz w:val="18"/>
                <w:szCs w:val="18"/>
                <w:lang w:eastAsia="en-ZA"/>
              </w:rPr>
            </w:pPr>
            <w:r w:rsidRPr="000F6EBC">
              <w:rPr>
                <w:rFonts w:ascii="Arial" w:eastAsia="Times New Roman" w:hAnsi="Arial" w:cs="Arial"/>
                <w:b/>
                <w:bCs/>
                <w:color w:val="000000"/>
                <w:sz w:val="18"/>
                <w:szCs w:val="18"/>
                <w:lang w:eastAsia="en-ZA"/>
              </w:rPr>
              <w:t>-86.6 (-88.1 to -85.0)</w:t>
            </w:r>
          </w:p>
        </w:tc>
        <w:tc>
          <w:tcPr>
            <w:tcW w:w="1922" w:type="dxa"/>
            <w:tcBorders>
              <w:top w:val="single" w:sz="4" w:space="0" w:color="auto"/>
            </w:tcBorders>
            <w:shd w:val="clear" w:color="auto" w:fill="F2F2F2"/>
            <w:vAlign w:val="bottom"/>
          </w:tcPr>
          <w:p w14:paraId="6AAEF9C9" w14:textId="77777777" w:rsidR="000F6EBC" w:rsidRPr="000F6EBC" w:rsidRDefault="000F6EBC" w:rsidP="000F6EBC">
            <w:pPr>
              <w:jc w:val="center"/>
              <w:rPr>
                <w:rFonts w:ascii="Arial" w:eastAsia="Times New Roman" w:hAnsi="Arial" w:cs="Arial"/>
                <w:b/>
                <w:bCs/>
                <w:color w:val="000000"/>
                <w:sz w:val="18"/>
                <w:szCs w:val="18"/>
                <w:lang w:eastAsia="en-ZA"/>
              </w:rPr>
            </w:pPr>
            <w:r w:rsidRPr="000F6EBC">
              <w:rPr>
                <w:rFonts w:ascii="Arial" w:eastAsia="Times New Roman" w:hAnsi="Arial" w:cs="Arial"/>
                <w:b/>
                <w:bCs/>
                <w:color w:val="000000"/>
                <w:sz w:val="18"/>
                <w:szCs w:val="18"/>
                <w:lang w:eastAsia="en-ZA"/>
              </w:rPr>
              <w:t>-86.9 (-89.2 to -84.1)</w:t>
            </w:r>
          </w:p>
        </w:tc>
        <w:tc>
          <w:tcPr>
            <w:tcW w:w="1922" w:type="dxa"/>
            <w:tcBorders>
              <w:top w:val="single" w:sz="4" w:space="0" w:color="auto"/>
            </w:tcBorders>
            <w:shd w:val="clear" w:color="auto" w:fill="F2F2F2"/>
            <w:vAlign w:val="bottom"/>
          </w:tcPr>
          <w:p w14:paraId="55B189F5" w14:textId="07F70C9D" w:rsidR="000F6EBC" w:rsidRPr="000F6EBC" w:rsidRDefault="00EF0307" w:rsidP="000F6EBC">
            <w:pPr>
              <w:jc w:val="center"/>
              <w:rPr>
                <w:rFonts w:ascii="Arial" w:eastAsia="Times New Roman" w:hAnsi="Arial" w:cs="Arial"/>
                <w:color w:val="000000"/>
                <w:sz w:val="18"/>
                <w:szCs w:val="18"/>
                <w:lang w:eastAsia="en-ZA"/>
              </w:rPr>
            </w:pPr>
            <w:r>
              <w:rPr>
                <w:rFonts w:ascii="Arial" w:eastAsia="Times New Roman" w:hAnsi="Arial" w:cs="Arial"/>
                <w:color w:val="000000"/>
                <w:sz w:val="18"/>
                <w:szCs w:val="18"/>
                <w:lang w:eastAsia="en-ZA"/>
              </w:rPr>
              <w:t>-2.1 (0.85</w:t>
            </w:r>
            <w:r w:rsidR="000F6EBC" w:rsidRPr="000F6EBC">
              <w:rPr>
                <w:rFonts w:ascii="Arial" w:eastAsia="Times New Roman" w:hAnsi="Arial" w:cs="Arial"/>
                <w:color w:val="000000"/>
                <w:sz w:val="18"/>
                <w:szCs w:val="18"/>
                <w:lang w:eastAsia="en-ZA"/>
              </w:rPr>
              <w:t>)</w:t>
            </w:r>
          </w:p>
        </w:tc>
      </w:tr>
      <w:tr w:rsidR="000F6EBC" w:rsidRPr="000F6EBC" w14:paraId="621AFCB9" w14:textId="77777777" w:rsidTr="00DE007A">
        <w:tc>
          <w:tcPr>
            <w:tcW w:w="3261" w:type="dxa"/>
          </w:tcPr>
          <w:p w14:paraId="6888579B" w14:textId="77777777" w:rsidR="000F6EBC" w:rsidRPr="000F6EBC" w:rsidRDefault="000F6EBC" w:rsidP="000F6EBC">
            <w:pPr>
              <w:rPr>
                <w:rFonts w:ascii="Arial" w:eastAsia="Calibri" w:hAnsi="Arial" w:cs="Arial"/>
                <w:sz w:val="18"/>
                <w:szCs w:val="18"/>
              </w:rPr>
            </w:pPr>
            <w:r w:rsidRPr="000F6EBC">
              <w:rPr>
                <w:rFonts w:ascii="Arial" w:eastAsia="Calibri" w:hAnsi="Arial" w:cs="Arial"/>
                <w:sz w:val="18"/>
                <w:szCs w:val="18"/>
              </w:rPr>
              <w:t xml:space="preserve">    Additional PCV13 serotypes</w:t>
            </w:r>
            <w:r w:rsidRPr="000F6EBC">
              <w:rPr>
                <w:rFonts w:ascii="Arial" w:eastAsia="Calibri" w:hAnsi="Arial" w:cs="Arial"/>
                <w:sz w:val="18"/>
                <w:szCs w:val="18"/>
                <w:vertAlign w:val="superscript"/>
              </w:rPr>
              <w:t>c</w:t>
            </w:r>
          </w:p>
        </w:tc>
        <w:tc>
          <w:tcPr>
            <w:tcW w:w="1921" w:type="dxa"/>
            <w:vAlign w:val="bottom"/>
          </w:tcPr>
          <w:p w14:paraId="5195BCEF" w14:textId="77777777" w:rsidR="000F6EBC" w:rsidRPr="000F6EBC" w:rsidRDefault="000F6EBC" w:rsidP="000F6EBC">
            <w:pPr>
              <w:jc w:val="center"/>
              <w:rPr>
                <w:rFonts w:ascii="Arial" w:eastAsia="Times New Roman" w:hAnsi="Arial" w:cs="Arial"/>
                <w:b/>
                <w:bCs/>
                <w:color w:val="000000"/>
                <w:sz w:val="18"/>
                <w:szCs w:val="18"/>
                <w:lang w:eastAsia="en-ZA"/>
              </w:rPr>
            </w:pPr>
            <w:r w:rsidRPr="000F6EBC">
              <w:rPr>
                <w:rFonts w:ascii="Arial" w:eastAsia="Calibri" w:hAnsi="Arial" w:cs="Arial"/>
                <w:b/>
                <w:bCs/>
                <w:color w:val="000000"/>
                <w:sz w:val="18"/>
              </w:rPr>
              <w:t>-75.8 (-78.0 to -73.4)</w:t>
            </w:r>
          </w:p>
        </w:tc>
        <w:tc>
          <w:tcPr>
            <w:tcW w:w="1922" w:type="dxa"/>
            <w:vAlign w:val="bottom"/>
          </w:tcPr>
          <w:p w14:paraId="787DFEAD" w14:textId="77777777" w:rsidR="000F6EBC" w:rsidRPr="000F6EBC" w:rsidRDefault="000F6EBC" w:rsidP="000F6EBC">
            <w:pPr>
              <w:jc w:val="center"/>
              <w:rPr>
                <w:rFonts w:ascii="Arial" w:eastAsia="Times New Roman" w:hAnsi="Arial" w:cs="Arial"/>
                <w:b/>
                <w:bCs/>
                <w:color w:val="000000"/>
                <w:sz w:val="18"/>
                <w:szCs w:val="18"/>
                <w:lang w:eastAsia="en-ZA"/>
              </w:rPr>
            </w:pPr>
            <w:r w:rsidRPr="000F6EBC">
              <w:rPr>
                <w:rFonts w:ascii="Arial" w:eastAsia="Calibri" w:hAnsi="Arial" w:cs="Arial"/>
                <w:b/>
                <w:bCs/>
                <w:color w:val="000000"/>
                <w:sz w:val="18"/>
              </w:rPr>
              <w:t>-82.2 (-85.5 to -78.1)</w:t>
            </w:r>
          </w:p>
        </w:tc>
        <w:tc>
          <w:tcPr>
            <w:tcW w:w="1922" w:type="dxa"/>
            <w:vAlign w:val="bottom"/>
          </w:tcPr>
          <w:p w14:paraId="14A03B98" w14:textId="452B24E8" w:rsidR="000F6EBC" w:rsidRPr="000F6EBC" w:rsidRDefault="000F6EBC" w:rsidP="00EF0307">
            <w:pPr>
              <w:jc w:val="center"/>
              <w:rPr>
                <w:rFonts w:ascii="Arial" w:eastAsia="Times New Roman" w:hAnsi="Arial" w:cs="Arial"/>
                <w:b/>
                <w:color w:val="000000"/>
                <w:sz w:val="18"/>
                <w:szCs w:val="18"/>
                <w:lang w:eastAsia="en-ZA"/>
              </w:rPr>
            </w:pPr>
            <w:r w:rsidRPr="000F6EBC">
              <w:rPr>
                <w:rFonts w:ascii="Arial" w:eastAsia="Calibri" w:hAnsi="Arial" w:cs="Arial"/>
                <w:b/>
                <w:bCs/>
                <w:color w:val="000000"/>
                <w:sz w:val="18"/>
              </w:rPr>
              <w:t>-26.5 (0.0</w:t>
            </w:r>
            <w:r w:rsidR="00EF0307">
              <w:rPr>
                <w:rFonts w:ascii="Arial" w:eastAsia="Calibri" w:hAnsi="Arial" w:cs="Arial"/>
                <w:b/>
                <w:bCs/>
                <w:color w:val="000000"/>
                <w:sz w:val="18"/>
              </w:rPr>
              <w:t>1</w:t>
            </w:r>
            <w:r w:rsidRPr="000F6EBC">
              <w:rPr>
                <w:rFonts w:ascii="Arial" w:eastAsia="Calibri" w:hAnsi="Arial" w:cs="Arial"/>
                <w:b/>
                <w:bCs/>
                <w:color w:val="000000"/>
                <w:sz w:val="18"/>
              </w:rPr>
              <w:t>)</w:t>
            </w:r>
          </w:p>
        </w:tc>
      </w:tr>
      <w:tr w:rsidR="000F6EBC" w:rsidRPr="000F6EBC" w14:paraId="525D28C6" w14:textId="77777777" w:rsidTr="00DE007A">
        <w:tc>
          <w:tcPr>
            <w:tcW w:w="3261" w:type="dxa"/>
            <w:shd w:val="clear" w:color="auto" w:fill="F2F2F2"/>
          </w:tcPr>
          <w:p w14:paraId="405E427D" w14:textId="77777777" w:rsidR="000F6EBC" w:rsidRPr="000F6EBC" w:rsidRDefault="000F6EBC" w:rsidP="000F6EBC">
            <w:pPr>
              <w:rPr>
                <w:rFonts w:ascii="Arial" w:eastAsia="Calibri" w:hAnsi="Arial" w:cs="Arial"/>
                <w:b/>
                <w:sz w:val="18"/>
                <w:szCs w:val="18"/>
              </w:rPr>
            </w:pPr>
            <w:r w:rsidRPr="000F6EBC">
              <w:rPr>
                <w:rFonts w:ascii="Arial" w:eastAsia="Calibri" w:hAnsi="Arial" w:cs="Arial"/>
                <w:sz w:val="18"/>
                <w:szCs w:val="18"/>
              </w:rPr>
              <w:t xml:space="preserve">    Non-PCV13 serotypes</w:t>
            </w:r>
            <w:r w:rsidRPr="000F6EBC">
              <w:rPr>
                <w:rFonts w:ascii="Arial" w:eastAsia="Calibri" w:hAnsi="Arial" w:cs="Arial"/>
                <w:sz w:val="18"/>
                <w:szCs w:val="18"/>
                <w:vertAlign w:val="superscript"/>
              </w:rPr>
              <w:t>c</w:t>
            </w:r>
          </w:p>
        </w:tc>
        <w:tc>
          <w:tcPr>
            <w:tcW w:w="1921" w:type="dxa"/>
            <w:shd w:val="clear" w:color="auto" w:fill="F2F2F2"/>
            <w:vAlign w:val="bottom"/>
          </w:tcPr>
          <w:p w14:paraId="7B2983DB" w14:textId="77777777" w:rsidR="000F6EBC" w:rsidRPr="000F6EBC" w:rsidRDefault="000F6EBC" w:rsidP="000F6EBC">
            <w:pPr>
              <w:jc w:val="center"/>
              <w:rPr>
                <w:rFonts w:ascii="Arial" w:eastAsia="Times New Roman" w:hAnsi="Arial" w:cs="Arial"/>
                <w:b/>
                <w:bCs/>
                <w:color w:val="000000"/>
                <w:sz w:val="18"/>
                <w:szCs w:val="18"/>
                <w:lang w:eastAsia="en-ZA"/>
              </w:rPr>
            </w:pPr>
            <w:r w:rsidRPr="000F6EBC">
              <w:rPr>
                <w:rFonts w:ascii="Arial" w:eastAsia="Times New Roman" w:hAnsi="Arial" w:cs="Arial"/>
                <w:b/>
                <w:bCs/>
                <w:color w:val="000000"/>
                <w:sz w:val="18"/>
                <w:szCs w:val="18"/>
                <w:lang w:eastAsia="en-ZA"/>
              </w:rPr>
              <w:t>26.8 (20.0 to 34.0)</w:t>
            </w:r>
          </w:p>
        </w:tc>
        <w:tc>
          <w:tcPr>
            <w:tcW w:w="1922" w:type="dxa"/>
            <w:shd w:val="clear" w:color="auto" w:fill="F2F2F2"/>
            <w:vAlign w:val="bottom"/>
          </w:tcPr>
          <w:p w14:paraId="02B46F95" w14:textId="77777777" w:rsidR="000F6EBC" w:rsidRPr="000F6EBC" w:rsidRDefault="000F6EBC" w:rsidP="000F6EBC">
            <w:pPr>
              <w:jc w:val="center"/>
              <w:rPr>
                <w:rFonts w:ascii="Arial" w:eastAsia="Times New Roman" w:hAnsi="Arial" w:cs="Arial"/>
                <w:b/>
                <w:bCs/>
                <w:color w:val="000000"/>
                <w:sz w:val="18"/>
                <w:szCs w:val="18"/>
                <w:lang w:eastAsia="en-ZA"/>
              </w:rPr>
            </w:pPr>
            <w:r w:rsidRPr="000F6EBC">
              <w:rPr>
                <w:rFonts w:ascii="Arial" w:eastAsia="Times New Roman" w:hAnsi="Arial" w:cs="Arial"/>
                <w:b/>
                <w:bCs/>
                <w:color w:val="000000"/>
                <w:sz w:val="18"/>
                <w:szCs w:val="18"/>
                <w:lang w:eastAsia="en-ZA"/>
              </w:rPr>
              <w:t>20.3 (10.2 to 31.4)</w:t>
            </w:r>
          </w:p>
        </w:tc>
        <w:tc>
          <w:tcPr>
            <w:tcW w:w="1922" w:type="dxa"/>
            <w:shd w:val="clear" w:color="auto" w:fill="F2F2F2"/>
            <w:vAlign w:val="bottom"/>
          </w:tcPr>
          <w:p w14:paraId="5F2966E4" w14:textId="3560C277" w:rsidR="000F6EBC" w:rsidRPr="000F6EBC" w:rsidRDefault="00EF0307" w:rsidP="000F6EBC">
            <w:pPr>
              <w:jc w:val="center"/>
              <w:rPr>
                <w:rFonts w:ascii="Arial" w:eastAsia="Times New Roman" w:hAnsi="Arial" w:cs="Arial"/>
                <w:color w:val="000000"/>
                <w:sz w:val="18"/>
                <w:szCs w:val="18"/>
                <w:lang w:eastAsia="en-ZA"/>
              </w:rPr>
            </w:pPr>
            <w:r>
              <w:rPr>
                <w:rFonts w:ascii="Arial" w:eastAsia="Times New Roman" w:hAnsi="Arial" w:cs="Arial"/>
                <w:color w:val="000000"/>
                <w:sz w:val="18"/>
                <w:szCs w:val="18"/>
                <w:lang w:eastAsia="en-ZA"/>
              </w:rPr>
              <w:t>-5.1 (0.32</w:t>
            </w:r>
            <w:r w:rsidR="000F6EBC" w:rsidRPr="000F6EBC">
              <w:rPr>
                <w:rFonts w:ascii="Arial" w:eastAsia="Times New Roman" w:hAnsi="Arial" w:cs="Arial"/>
                <w:color w:val="000000"/>
                <w:sz w:val="18"/>
                <w:szCs w:val="18"/>
                <w:lang w:eastAsia="en-ZA"/>
              </w:rPr>
              <w:t>)</w:t>
            </w:r>
          </w:p>
        </w:tc>
      </w:tr>
      <w:tr w:rsidR="000F6EBC" w:rsidRPr="000F6EBC" w14:paraId="732F30FE" w14:textId="77777777" w:rsidTr="00DE007A">
        <w:tc>
          <w:tcPr>
            <w:tcW w:w="3261" w:type="dxa"/>
            <w:tcBorders>
              <w:bottom w:val="single" w:sz="4" w:space="0" w:color="auto"/>
            </w:tcBorders>
          </w:tcPr>
          <w:p w14:paraId="5AF20CA5" w14:textId="77777777" w:rsidR="000F6EBC" w:rsidRPr="000F6EBC" w:rsidRDefault="000F6EBC" w:rsidP="000F6EBC">
            <w:pPr>
              <w:rPr>
                <w:rFonts w:ascii="Arial" w:eastAsia="Calibri" w:hAnsi="Arial" w:cs="Arial"/>
                <w:sz w:val="18"/>
                <w:szCs w:val="18"/>
              </w:rPr>
            </w:pPr>
            <w:r w:rsidRPr="000F6EBC">
              <w:rPr>
                <w:rFonts w:ascii="Arial" w:eastAsia="Calibri" w:hAnsi="Arial" w:cs="Arial"/>
                <w:sz w:val="18"/>
                <w:szCs w:val="18"/>
              </w:rPr>
              <w:t xml:space="preserve">    All serotypes</w:t>
            </w:r>
            <w:r w:rsidRPr="000F6EBC">
              <w:rPr>
                <w:rFonts w:ascii="Arial" w:eastAsia="Calibri" w:hAnsi="Arial" w:cs="Arial"/>
                <w:sz w:val="18"/>
                <w:szCs w:val="18"/>
                <w:vertAlign w:val="superscript"/>
              </w:rPr>
              <w:t>d</w:t>
            </w:r>
          </w:p>
        </w:tc>
        <w:tc>
          <w:tcPr>
            <w:tcW w:w="1921" w:type="dxa"/>
            <w:tcBorders>
              <w:bottom w:val="single" w:sz="4" w:space="0" w:color="auto"/>
            </w:tcBorders>
            <w:vAlign w:val="bottom"/>
          </w:tcPr>
          <w:p w14:paraId="12DBF22E" w14:textId="77777777" w:rsidR="000F6EBC" w:rsidRPr="000F6EBC" w:rsidRDefault="000F6EBC" w:rsidP="000F6EBC">
            <w:pPr>
              <w:jc w:val="center"/>
              <w:rPr>
                <w:rFonts w:ascii="Arial" w:eastAsia="Times New Roman" w:hAnsi="Arial" w:cs="Arial"/>
                <w:b/>
                <w:bCs/>
                <w:color w:val="000000"/>
                <w:sz w:val="18"/>
                <w:szCs w:val="18"/>
                <w:lang w:eastAsia="en-ZA"/>
              </w:rPr>
            </w:pPr>
            <w:r w:rsidRPr="000F6EBC">
              <w:rPr>
                <w:rFonts w:ascii="Arial" w:eastAsia="Times New Roman" w:hAnsi="Arial" w:cs="Arial"/>
                <w:b/>
                <w:bCs/>
                <w:color w:val="000000"/>
                <w:sz w:val="18"/>
                <w:szCs w:val="18"/>
                <w:lang w:eastAsia="en-ZA"/>
              </w:rPr>
              <w:t>-54.7 (-56.6 to -52.8)</w:t>
            </w:r>
          </w:p>
        </w:tc>
        <w:tc>
          <w:tcPr>
            <w:tcW w:w="1922" w:type="dxa"/>
            <w:tcBorders>
              <w:bottom w:val="single" w:sz="4" w:space="0" w:color="auto"/>
            </w:tcBorders>
            <w:vAlign w:val="bottom"/>
          </w:tcPr>
          <w:p w14:paraId="1AE69931" w14:textId="77777777" w:rsidR="000F6EBC" w:rsidRPr="000F6EBC" w:rsidRDefault="000F6EBC" w:rsidP="000F6EBC">
            <w:pPr>
              <w:jc w:val="center"/>
              <w:rPr>
                <w:rFonts w:ascii="Arial" w:eastAsia="Times New Roman" w:hAnsi="Arial" w:cs="Arial"/>
                <w:b/>
                <w:bCs/>
                <w:color w:val="000000"/>
                <w:sz w:val="18"/>
                <w:szCs w:val="18"/>
                <w:lang w:eastAsia="en-ZA"/>
              </w:rPr>
            </w:pPr>
            <w:r w:rsidRPr="000F6EBC">
              <w:rPr>
                <w:rFonts w:ascii="Arial" w:eastAsia="Times New Roman" w:hAnsi="Arial" w:cs="Arial"/>
                <w:b/>
                <w:bCs/>
                <w:color w:val="000000"/>
                <w:sz w:val="18"/>
                <w:szCs w:val="18"/>
                <w:lang w:eastAsia="en-ZA"/>
              </w:rPr>
              <w:t>-54.4 (-57.5 to -51.0)</w:t>
            </w:r>
          </w:p>
        </w:tc>
        <w:tc>
          <w:tcPr>
            <w:tcW w:w="1922" w:type="dxa"/>
            <w:tcBorders>
              <w:bottom w:val="single" w:sz="4" w:space="0" w:color="auto"/>
            </w:tcBorders>
            <w:vAlign w:val="bottom"/>
          </w:tcPr>
          <w:p w14:paraId="1B8FB569" w14:textId="56E31701" w:rsidR="000F6EBC" w:rsidRPr="000F6EBC" w:rsidRDefault="000F6EBC" w:rsidP="00EF0307">
            <w:pPr>
              <w:jc w:val="center"/>
              <w:rPr>
                <w:rFonts w:ascii="Arial" w:eastAsia="Times New Roman" w:hAnsi="Arial" w:cs="Arial"/>
                <w:color w:val="000000"/>
                <w:sz w:val="18"/>
                <w:szCs w:val="18"/>
                <w:lang w:eastAsia="en-ZA"/>
              </w:rPr>
            </w:pPr>
            <w:r w:rsidRPr="000F6EBC">
              <w:rPr>
                <w:rFonts w:ascii="Arial" w:eastAsia="Times New Roman" w:hAnsi="Arial" w:cs="Arial"/>
                <w:color w:val="000000"/>
                <w:sz w:val="18"/>
                <w:szCs w:val="18"/>
                <w:lang w:eastAsia="en-ZA"/>
              </w:rPr>
              <w:t>0.7 (0.8</w:t>
            </w:r>
            <w:r w:rsidR="00EF0307">
              <w:rPr>
                <w:rFonts w:ascii="Arial" w:eastAsia="Times New Roman" w:hAnsi="Arial" w:cs="Arial"/>
                <w:color w:val="000000"/>
                <w:sz w:val="18"/>
                <w:szCs w:val="18"/>
                <w:lang w:eastAsia="en-ZA"/>
              </w:rPr>
              <w:t>7</w:t>
            </w:r>
            <w:r w:rsidRPr="000F6EBC">
              <w:rPr>
                <w:rFonts w:ascii="Arial" w:eastAsia="Times New Roman" w:hAnsi="Arial" w:cs="Arial"/>
                <w:color w:val="000000"/>
                <w:sz w:val="18"/>
                <w:szCs w:val="18"/>
                <w:lang w:eastAsia="en-ZA"/>
              </w:rPr>
              <w:t>)</w:t>
            </w:r>
          </w:p>
        </w:tc>
      </w:tr>
    </w:tbl>
    <w:p w14:paraId="747774C9" w14:textId="77777777" w:rsidR="000F6EBC" w:rsidRPr="000F6EBC" w:rsidRDefault="000F6EBC" w:rsidP="000F6EBC">
      <w:pPr>
        <w:spacing w:after="0"/>
        <w:rPr>
          <w:rFonts w:ascii="Arial" w:eastAsia="Calibri" w:hAnsi="Arial" w:cs="Arial"/>
          <w:color w:val="000000"/>
          <w:sz w:val="20"/>
          <w:szCs w:val="20"/>
          <w:lang w:val="en-US"/>
        </w:rPr>
      </w:pPr>
      <w:r w:rsidRPr="000F6EBC">
        <w:rPr>
          <w:rFonts w:ascii="Arial" w:eastAsia="Calibri" w:hAnsi="Arial" w:cs="Arial"/>
          <w:sz w:val="20"/>
          <w:szCs w:val="20"/>
          <w:lang w:val="en-US"/>
        </w:rPr>
        <w:t xml:space="preserve">Abbreviations: CI: confidence intervals; PCV: pneumococcal conjugate vaccine; PCV7 serotypes: </w:t>
      </w:r>
      <w:r w:rsidRPr="000F6EBC">
        <w:rPr>
          <w:rFonts w:ascii="Arial" w:eastAsia="Calibri" w:hAnsi="Arial" w:cs="Arial"/>
          <w:color w:val="000000"/>
          <w:sz w:val="20"/>
          <w:szCs w:val="20"/>
          <w:lang w:val="en-US"/>
        </w:rPr>
        <w:t>4, 6B, 9V, 14, 18C, 19F and 23F; Additional PCV13 serotypes: 1, 3, 5, 6A, 7F and 19A; Non-PCV13 serotypes: all serotype not in PCV13.</w:t>
      </w:r>
    </w:p>
    <w:p w14:paraId="25C82E3E" w14:textId="77777777" w:rsidR="000F6EBC" w:rsidRPr="000F6EBC" w:rsidRDefault="000F6EBC" w:rsidP="000F6EBC">
      <w:pPr>
        <w:spacing w:after="0"/>
        <w:rPr>
          <w:rFonts w:ascii="Arial" w:eastAsia="Calibri" w:hAnsi="Arial" w:cs="Arial"/>
          <w:sz w:val="20"/>
          <w:szCs w:val="20"/>
          <w:lang w:val="en-US"/>
        </w:rPr>
      </w:pPr>
      <w:r w:rsidRPr="000F6EBC">
        <w:rPr>
          <w:rFonts w:ascii="Arial" w:eastAsia="Calibri" w:hAnsi="Arial" w:cs="Arial"/>
          <w:sz w:val="20"/>
          <w:szCs w:val="20"/>
          <w:vertAlign w:val="superscript"/>
          <w:lang w:val="en-US"/>
        </w:rPr>
        <w:t xml:space="preserve">a </w:t>
      </w:r>
      <w:r w:rsidRPr="000F6EBC">
        <w:rPr>
          <w:rFonts w:ascii="Arial" w:eastAsia="Calibri" w:hAnsi="Arial" w:cs="Arial"/>
          <w:sz w:val="20"/>
          <w:szCs w:val="20"/>
          <w:lang w:val="en-US"/>
        </w:rPr>
        <w:t>Percentage effect difference calculated as the rate ratio of the interaction term for PCV period (2016 vs. 2005-2008) and syndrome (PM vs. tIPD) term minus 1 multiplied by 100</w:t>
      </w:r>
    </w:p>
    <w:p w14:paraId="0BA2D7AB" w14:textId="77777777" w:rsidR="000F6EBC" w:rsidRPr="000F6EBC" w:rsidRDefault="000F6EBC" w:rsidP="000F6EBC">
      <w:pPr>
        <w:spacing w:after="0"/>
        <w:rPr>
          <w:rFonts w:ascii="Arial" w:eastAsia="Calibri" w:hAnsi="Arial" w:cs="Arial"/>
          <w:sz w:val="20"/>
          <w:szCs w:val="20"/>
          <w:lang w:val="en-US"/>
        </w:rPr>
      </w:pPr>
      <w:r w:rsidRPr="000F6EBC">
        <w:rPr>
          <w:rFonts w:ascii="Arial" w:eastAsia="Calibri" w:hAnsi="Arial" w:cs="Arial"/>
          <w:sz w:val="20"/>
          <w:szCs w:val="20"/>
          <w:vertAlign w:val="superscript"/>
          <w:lang w:val="en-US"/>
        </w:rPr>
        <w:t xml:space="preserve">b </w:t>
      </w:r>
      <w:r w:rsidRPr="000F6EBC">
        <w:rPr>
          <w:rFonts w:ascii="Arial" w:eastAsia="Calibri" w:hAnsi="Arial" w:cs="Arial"/>
          <w:sz w:val="20"/>
          <w:szCs w:val="20"/>
          <w:lang w:val="en-US"/>
        </w:rPr>
        <w:t>Model adjusted by serotype groups: PCV7, additional PCV13 and non-PCV13 serotypes.</w:t>
      </w:r>
    </w:p>
    <w:p w14:paraId="0138781E" w14:textId="77777777" w:rsidR="000F6EBC" w:rsidRPr="000F6EBC" w:rsidRDefault="000F6EBC" w:rsidP="000F6EBC">
      <w:pPr>
        <w:spacing w:after="0"/>
        <w:rPr>
          <w:rFonts w:ascii="Arial" w:eastAsia="Calibri" w:hAnsi="Arial" w:cs="Arial"/>
          <w:sz w:val="20"/>
          <w:szCs w:val="20"/>
          <w:lang w:val="en-US"/>
        </w:rPr>
      </w:pPr>
      <w:r w:rsidRPr="000F6EBC">
        <w:rPr>
          <w:rFonts w:ascii="Arial" w:eastAsia="Calibri" w:hAnsi="Arial" w:cs="Arial"/>
          <w:sz w:val="20"/>
          <w:szCs w:val="20"/>
          <w:vertAlign w:val="superscript"/>
          <w:lang w:val="en-US"/>
        </w:rPr>
        <w:t xml:space="preserve">c </w:t>
      </w:r>
      <w:r w:rsidRPr="000F6EBC">
        <w:rPr>
          <w:rFonts w:ascii="Arial" w:eastAsia="Calibri" w:hAnsi="Arial" w:cs="Arial"/>
          <w:sz w:val="20"/>
          <w:szCs w:val="20"/>
          <w:lang w:val="en-US"/>
        </w:rPr>
        <w:t>Model adjusted by age groups: individuals &lt;5 and ≥5 years of age.</w:t>
      </w:r>
    </w:p>
    <w:p w14:paraId="6E64C4D4" w14:textId="6E473D4F" w:rsidR="000F6EBC" w:rsidRDefault="000F6EBC" w:rsidP="000F6EBC">
      <w:pPr>
        <w:spacing w:after="0"/>
        <w:rPr>
          <w:rFonts w:ascii="Arial" w:eastAsia="Calibri" w:hAnsi="Arial" w:cs="Arial"/>
          <w:sz w:val="20"/>
          <w:szCs w:val="20"/>
          <w:lang w:val="en-US"/>
        </w:rPr>
      </w:pPr>
      <w:r w:rsidRPr="000F6EBC">
        <w:rPr>
          <w:rFonts w:ascii="Arial" w:eastAsia="Calibri" w:hAnsi="Arial" w:cs="Arial"/>
          <w:sz w:val="20"/>
          <w:szCs w:val="20"/>
          <w:vertAlign w:val="superscript"/>
          <w:lang w:val="en-US"/>
        </w:rPr>
        <w:t xml:space="preserve">d </w:t>
      </w:r>
      <w:r w:rsidRPr="000F6EBC">
        <w:rPr>
          <w:rFonts w:ascii="Arial" w:eastAsia="Calibri" w:hAnsi="Arial" w:cs="Arial"/>
          <w:sz w:val="20"/>
          <w:szCs w:val="20"/>
          <w:lang w:val="en-US"/>
        </w:rPr>
        <w:t>Model adjusted by serotype and age groups.</w:t>
      </w:r>
    </w:p>
    <w:p w14:paraId="3E07F077" w14:textId="77777777" w:rsidR="000F6EBC" w:rsidRPr="000F6EBC" w:rsidRDefault="000F6EBC" w:rsidP="000F6EBC">
      <w:pPr>
        <w:spacing w:after="0"/>
        <w:rPr>
          <w:rFonts w:ascii="Arial" w:eastAsia="Calibri" w:hAnsi="Arial" w:cs="Arial"/>
          <w:sz w:val="20"/>
          <w:szCs w:val="20"/>
          <w:lang w:val="en-US"/>
        </w:rPr>
      </w:pPr>
    </w:p>
    <w:p w14:paraId="0E2D10A8" w14:textId="77777777" w:rsidR="000F6EBC" w:rsidRDefault="000F6EBC">
      <w:pPr>
        <w:rPr>
          <w:rStyle w:val="Hyperlink"/>
          <w:rFonts w:ascii="Arial" w:hAnsi="Arial" w:cs="Arial"/>
          <w:b/>
          <w:sz w:val="24"/>
          <w:szCs w:val="24"/>
        </w:rPr>
      </w:pPr>
      <w:r>
        <w:rPr>
          <w:rStyle w:val="Hyperlink"/>
          <w:rFonts w:ascii="Arial" w:hAnsi="Arial" w:cs="Arial"/>
          <w:b/>
          <w:sz w:val="24"/>
          <w:szCs w:val="24"/>
        </w:rPr>
        <w:br w:type="page"/>
      </w:r>
    </w:p>
    <w:p w14:paraId="083788D2" w14:textId="0BC48B9F" w:rsidR="008A4076" w:rsidRPr="00142AFB" w:rsidRDefault="008A4076" w:rsidP="008A4076">
      <w:pPr>
        <w:spacing w:line="240" w:lineRule="auto"/>
        <w:jc w:val="both"/>
        <w:rPr>
          <w:rFonts w:ascii="Arial" w:eastAsia="Calibri" w:hAnsi="Arial" w:cs="Arial"/>
          <w:sz w:val="24"/>
          <w:szCs w:val="24"/>
          <w:lang w:val="en-US"/>
        </w:rPr>
      </w:pPr>
      <w:r w:rsidRPr="002A4FB6">
        <w:rPr>
          <w:rStyle w:val="Hyperlink"/>
          <w:rFonts w:ascii="Arial" w:hAnsi="Arial" w:cs="Arial"/>
          <w:b/>
          <w:sz w:val="24"/>
          <w:szCs w:val="24"/>
        </w:rPr>
        <w:lastRenderedPageBreak/>
        <w:t xml:space="preserve">Supplementary Table </w:t>
      </w:r>
      <w:r w:rsidR="000F6EBC">
        <w:rPr>
          <w:rStyle w:val="Hyperlink"/>
          <w:rFonts w:ascii="Arial" w:hAnsi="Arial" w:cs="Arial"/>
          <w:b/>
          <w:sz w:val="24"/>
          <w:szCs w:val="24"/>
        </w:rPr>
        <w:t>3</w:t>
      </w:r>
      <w:r w:rsidRPr="00142AFB">
        <w:rPr>
          <w:rFonts w:ascii="Arial" w:eastAsia="Calibri" w:hAnsi="Arial" w:cs="Arial"/>
          <w:b/>
          <w:sz w:val="24"/>
          <w:szCs w:val="24"/>
          <w:lang w:val="en-US"/>
        </w:rPr>
        <w:t>.</w:t>
      </w:r>
      <w:r w:rsidRPr="00142AFB">
        <w:rPr>
          <w:rFonts w:ascii="Arial" w:eastAsia="Calibri" w:hAnsi="Arial" w:cs="Arial"/>
          <w:sz w:val="24"/>
          <w:szCs w:val="24"/>
          <w:lang w:val="en-US"/>
        </w:rPr>
        <w:t xml:space="preserve"> Percentage difference in rates of </w:t>
      </w:r>
      <w:r>
        <w:rPr>
          <w:rFonts w:ascii="Arial" w:eastAsia="Calibri" w:hAnsi="Arial" w:cs="Arial"/>
          <w:sz w:val="24"/>
          <w:szCs w:val="24"/>
          <w:lang w:val="en-US"/>
        </w:rPr>
        <w:t>non-meningitis</w:t>
      </w:r>
      <w:r w:rsidRPr="00142AFB">
        <w:rPr>
          <w:rFonts w:ascii="Arial" w:eastAsia="Calibri" w:hAnsi="Arial" w:cs="Arial"/>
          <w:sz w:val="24"/>
          <w:szCs w:val="24"/>
          <w:lang w:val="en-US"/>
        </w:rPr>
        <w:t xml:space="preserve"> invasive pneumococcal disease (</w:t>
      </w:r>
      <w:r>
        <w:rPr>
          <w:rFonts w:ascii="Arial" w:eastAsia="Calibri" w:hAnsi="Arial" w:cs="Arial"/>
          <w:sz w:val="24"/>
          <w:szCs w:val="24"/>
          <w:lang w:val="en-US"/>
        </w:rPr>
        <w:t>nmIPD</w:t>
      </w:r>
      <w:r w:rsidRPr="00142AFB">
        <w:rPr>
          <w:rFonts w:ascii="Arial" w:eastAsia="Calibri" w:hAnsi="Arial" w:cs="Arial"/>
          <w:sz w:val="24"/>
          <w:szCs w:val="24"/>
          <w:lang w:val="en-US"/>
        </w:rPr>
        <w:t xml:space="preserve">) and pneumococcal meningitis (PM) between 2005-2008 (pre-PCV introduction) and 2012 (post-PCV introduction) and percentage effect difference in rate changes between 2005-2008 and 2012 for PM compared to </w:t>
      </w:r>
      <w:r>
        <w:rPr>
          <w:rFonts w:ascii="Arial" w:eastAsia="Calibri" w:hAnsi="Arial" w:cs="Arial"/>
          <w:sz w:val="24"/>
          <w:szCs w:val="24"/>
          <w:lang w:val="en-US"/>
        </w:rPr>
        <w:t>nmIPD</w:t>
      </w:r>
      <w:r w:rsidRPr="00142AFB">
        <w:rPr>
          <w:rFonts w:ascii="Arial" w:eastAsia="Calibri" w:hAnsi="Arial" w:cs="Arial"/>
          <w:sz w:val="24"/>
          <w:szCs w:val="24"/>
          <w:lang w:val="en-US"/>
        </w:rPr>
        <w:t>, South Africa, 2005-2012</w:t>
      </w: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21"/>
        <w:gridCol w:w="1922"/>
        <w:gridCol w:w="1922"/>
      </w:tblGrid>
      <w:tr w:rsidR="008A4076" w:rsidRPr="00142AFB" w14:paraId="1EF5BAE6" w14:textId="77777777" w:rsidTr="008A4076">
        <w:tc>
          <w:tcPr>
            <w:tcW w:w="3261" w:type="dxa"/>
            <w:tcBorders>
              <w:top w:val="single" w:sz="4" w:space="0" w:color="auto"/>
              <w:bottom w:val="single" w:sz="4" w:space="0" w:color="auto"/>
            </w:tcBorders>
            <w:vAlign w:val="center"/>
          </w:tcPr>
          <w:p w14:paraId="5588A0BA" w14:textId="77777777" w:rsidR="008A4076" w:rsidRPr="00142AFB" w:rsidRDefault="008A4076" w:rsidP="008A4076">
            <w:pPr>
              <w:jc w:val="center"/>
              <w:rPr>
                <w:rFonts w:ascii="Arial" w:eastAsia="Calibri" w:hAnsi="Arial" w:cs="Arial"/>
                <w:b/>
                <w:sz w:val="18"/>
                <w:szCs w:val="18"/>
              </w:rPr>
            </w:pPr>
            <w:r w:rsidRPr="00142AFB">
              <w:rPr>
                <w:rFonts w:ascii="Arial" w:eastAsia="Calibri" w:hAnsi="Arial" w:cs="Arial"/>
                <w:b/>
                <w:sz w:val="18"/>
                <w:szCs w:val="18"/>
              </w:rPr>
              <w:t>Serotype groups</w:t>
            </w:r>
          </w:p>
        </w:tc>
        <w:tc>
          <w:tcPr>
            <w:tcW w:w="1921" w:type="dxa"/>
            <w:tcBorders>
              <w:top w:val="single" w:sz="4" w:space="0" w:color="auto"/>
              <w:bottom w:val="single" w:sz="4" w:space="0" w:color="auto"/>
            </w:tcBorders>
            <w:vAlign w:val="center"/>
          </w:tcPr>
          <w:p w14:paraId="758AE180" w14:textId="77777777" w:rsidR="008A4076" w:rsidRPr="00142AFB" w:rsidRDefault="008A4076" w:rsidP="008A4076">
            <w:pPr>
              <w:jc w:val="center"/>
              <w:rPr>
                <w:rFonts w:ascii="Arial" w:eastAsia="Calibri" w:hAnsi="Arial" w:cs="Arial"/>
                <w:b/>
                <w:sz w:val="18"/>
                <w:szCs w:val="18"/>
              </w:rPr>
            </w:pPr>
            <w:r>
              <w:rPr>
                <w:rFonts w:ascii="Arial" w:eastAsia="Calibri" w:hAnsi="Arial" w:cs="Arial"/>
                <w:b/>
                <w:sz w:val="18"/>
                <w:szCs w:val="18"/>
              </w:rPr>
              <w:t>nmIPD</w:t>
            </w:r>
            <w:r w:rsidRPr="00142AFB">
              <w:rPr>
                <w:rFonts w:ascii="Arial" w:eastAsia="Calibri" w:hAnsi="Arial" w:cs="Arial"/>
                <w:b/>
                <w:sz w:val="18"/>
                <w:szCs w:val="18"/>
              </w:rPr>
              <w:t xml:space="preserve"> % difference</w:t>
            </w:r>
          </w:p>
          <w:p w14:paraId="6BF9D4D9" w14:textId="77777777" w:rsidR="008A4076" w:rsidRPr="00142AFB" w:rsidRDefault="008A4076" w:rsidP="008A4076">
            <w:pPr>
              <w:jc w:val="center"/>
              <w:rPr>
                <w:rFonts w:ascii="Arial" w:eastAsia="Calibri" w:hAnsi="Arial" w:cs="Arial"/>
                <w:b/>
                <w:sz w:val="18"/>
                <w:szCs w:val="18"/>
              </w:rPr>
            </w:pPr>
            <w:r w:rsidRPr="00142AFB">
              <w:rPr>
                <w:rFonts w:ascii="Arial" w:eastAsia="Calibri" w:hAnsi="Arial" w:cs="Arial"/>
                <w:b/>
                <w:sz w:val="18"/>
                <w:szCs w:val="18"/>
              </w:rPr>
              <w:t>(95% CI)</w:t>
            </w:r>
          </w:p>
        </w:tc>
        <w:tc>
          <w:tcPr>
            <w:tcW w:w="1922" w:type="dxa"/>
            <w:tcBorders>
              <w:top w:val="single" w:sz="4" w:space="0" w:color="auto"/>
              <w:bottom w:val="single" w:sz="4" w:space="0" w:color="auto"/>
            </w:tcBorders>
            <w:vAlign w:val="center"/>
          </w:tcPr>
          <w:p w14:paraId="6A6771A8" w14:textId="77777777" w:rsidR="008A4076" w:rsidRPr="00142AFB" w:rsidRDefault="008A4076" w:rsidP="008A4076">
            <w:pPr>
              <w:jc w:val="center"/>
              <w:rPr>
                <w:rFonts w:ascii="Arial" w:eastAsia="Calibri" w:hAnsi="Arial" w:cs="Arial"/>
                <w:b/>
                <w:sz w:val="18"/>
                <w:szCs w:val="18"/>
              </w:rPr>
            </w:pPr>
            <w:r w:rsidRPr="00142AFB">
              <w:rPr>
                <w:rFonts w:ascii="Arial" w:eastAsia="Calibri" w:hAnsi="Arial" w:cs="Arial"/>
                <w:b/>
                <w:sz w:val="18"/>
                <w:szCs w:val="18"/>
              </w:rPr>
              <w:t>PM % difference</w:t>
            </w:r>
          </w:p>
          <w:p w14:paraId="1D80185E" w14:textId="77777777" w:rsidR="008A4076" w:rsidRPr="00142AFB" w:rsidRDefault="008A4076" w:rsidP="008A4076">
            <w:pPr>
              <w:jc w:val="center"/>
              <w:rPr>
                <w:rFonts w:ascii="Arial" w:eastAsia="Calibri" w:hAnsi="Arial" w:cs="Arial"/>
                <w:b/>
                <w:sz w:val="18"/>
                <w:szCs w:val="18"/>
              </w:rPr>
            </w:pPr>
            <w:r w:rsidRPr="00142AFB">
              <w:rPr>
                <w:rFonts w:ascii="Arial" w:eastAsia="Calibri" w:hAnsi="Arial" w:cs="Arial"/>
                <w:b/>
                <w:sz w:val="18"/>
                <w:szCs w:val="18"/>
              </w:rPr>
              <w:t>(95% CI)</w:t>
            </w:r>
          </w:p>
        </w:tc>
        <w:tc>
          <w:tcPr>
            <w:tcW w:w="1922" w:type="dxa"/>
            <w:tcBorders>
              <w:top w:val="single" w:sz="4" w:space="0" w:color="auto"/>
              <w:bottom w:val="single" w:sz="4" w:space="0" w:color="auto"/>
            </w:tcBorders>
            <w:vAlign w:val="center"/>
          </w:tcPr>
          <w:p w14:paraId="56339BEC" w14:textId="77777777" w:rsidR="008A4076" w:rsidRPr="00142AFB" w:rsidRDefault="008A4076" w:rsidP="008A4076">
            <w:pPr>
              <w:jc w:val="center"/>
              <w:rPr>
                <w:rFonts w:ascii="Arial" w:eastAsia="Calibri" w:hAnsi="Arial" w:cs="Arial"/>
                <w:b/>
                <w:sz w:val="18"/>
                <w:szCs w:val="18"/>
              </w:rPr>
            </w:pPr>
            <w:r w:rsidRPr="00142AFB">
              <w:rPr>
                <w:rFonts w:ascii="Arial" w:eastAsia="Calibri" w:hAnsi="Arial" w:cs="Arial"/>
                <w:b/>
                <w:sz w:val="18"/>
                <w:szCs w:val="18"/>
              </w:rPr>
              <w:t>% effect difference</w:t>
            </w:r>
          </w:p>
          <w:p w14:paraId="14F19B68" w14:textId="2151ED68" w:rsidR="008A4076" w:rsidRPr="00142AFB" w:rsidRDefault="008A4076" w:rsidP="008A4076">
            <w:pPr>
              <w:jc w:val="center"/>
              <w:rPr>
                <w:rFonts w:ascii="Arial" w:eastAsia="Calibri" w:hAnsi="Arial" w:cs="Arial"/>
                <w:b/>
                <w:sz w:val="18"/>
                <w:szCs w:val="18"/>
              </w:rPr>
            </w:pPr>
            <w:r w:rsidRPr="00142AFB">
              <w:rPr>
                <w:rFonts w:ascii="Arial" w:eastAsia="Calibri" w:hAnsi="Arial" w:cs="Arial"/>
                <w:b/>
                <w:sz w:val="18"/>
                <w:szCs w:val="18"/>
              </w:rPr>
              <w:t xml:space="preserve">PM vs. </w:t>
            </w:r>
            <w:r>
              <w:rPr>
                <w:rFonts w:ascii="Arial" w:eastAsia="Calibri" w:hAnsi="Arial" w:cs="Arial"/>
                <w:b/>
                <w:sz w:val="18"/>
                <w:szCs w:val="18"/>
              </w:rPr>
              <w:t>nmIPD</w:t>
            </w:r>
            <w:r w:rsidR="006F2AA8" w:rsidRPr="006F2AA8">
              <w:rPr>
                <w:rFonts w:ascii="Arial" w:eastAsia="Calibri" w:hAnsi="Arial" w:cs="Arial"/>
                <w:b/>
                <w:sz w:val="18"/>
                <w:szCs w:val="18"/>
                <w:vertAlign w:val="superscript"/>
              </w:rPr>
              <w:t>a</w:t>
            </w:r>
          </w:p>
          <w:p w14:paraId="13E3A320" w14:textId="77777777" w:rsidR="008A4076" w:rsidRPr="00142AFB" w:rsidRDefault="008A4076" w:rsidP="008A4076">
            <w:pPr>
              <w:jc w:val="center"/>
              <w:rPr>
                <w:rFonts w:ascii="Arial" w:eastAsia="Calibri" w:hAnsi="Arial" w:cs="Arial"/>
                <w:b/>
                <w:sz w:val="18"/>
                <w:szCs w:val="18"/>
              </w:rPr>
            </w:pPr>
            <w:r w:rsidRPr="00142AFB">
              <w:rPr>
                <w:rFonts w:ascii="Arial" w:eastAsia="Calibri" w:hAnsi="Arial" w:cs="Arial"/>
                <w:b/>
                <w:sz w:val="18"/>
                <w:szCs w:val="18"/>
              </w:rPr>
              <w:t>(p value)</w:t>
            </w:r>
          </w:p>
        </w:tc>
      </w:tr>
      <w:tr w:rsidR="006F2AA8" w:rsidRPr="00142AFB" w14:paraId="7D323249" w14:textId="77777777" w:rsidTr="008A4076">
        <w:tc>
          <w:tcPr>
            <w:tcW w:w="9026" w:type="dxa"/>
            <w:gridSpan w:val="4"/>
            <w:tcBorders>
              <w:top w:val="single" w:sz="4" w:space="0" w:color="auto"/>
              <w:bottom w:val="single" w:sz="4" w:space="0" w:color="auto"/>
            </w:tcBorders>
          </w:tcPr>
          <w:p w14:paraId="540FCCD7" w14:textId="0B3C8415" w:rsidR="006F2AA8" w:rsidRPr="00142AFB" w:rsidRDefault="006F2AA8" w:rsidP="006F2AA8">
            <w:pPr>
              <w:rPr>
                <w:rFonts w:ascii="Arial" w:eastAsia="Calibri" w:hAnsi="Arial" w:cs="Arial"/>
                <w:b/>
                <w:sz w:val="18"/>
                <w:szCs w:val="18"/>
              </w:rPr>
            </w:pPr>
            <w:r w:rsidRPr="0058389A">
              <w:rPr>
                <w:rFonts w:ascii="Arial" w:eastAsia="Calibri" w:hAnsi="Arial" w:cs="Arial"/>
                <w:b/>
                <w:sz w:val="18"/>
                <w:szCs w:val="18"/>
              </w:rPr>
              <w:t>Children aged &lt;5 years</w:t>
            </w:r>
          </w:p>
        </w:tc>
      </w:tr>
      <w:tr w:rsidR="006F2AA8" w:rsidRPr="00142AFB" w14:paraId="32355EB2" w14:textId="77777777" w:rsidTr="008A4076">
        <w:tc>
          <w:tcPr>
            <w:tcW w:w="3261" w:type="dxa"/>
            <w:tcBorders>
              <w:top w:val="single" w:sz="4" w:space="0" w:color="auto"/>
            </w:tcBorders>
            <w:shd w:val="clear" w:color="auto" w:fill="F2F2F2"/>
          </w:tcPr>
          <w:p w14:paraId="09C02717" w14:textId="46707170" w:rsidR="006F2AA8" w:rsidRPr="00142AFB" w:rsidRDefault="006F2AA8" w:rsidP="006F2AA8">
            <w:pPr>
              <w:rPr>
                <w:rFonts w:ascii="Arial" w:eastAsia="Calibri" w:hAnsi="Arial" w:cs="Arial"/>
                <w:sz w:val="18"/>
                <w:szCs w:val="18"/>
              </w:rPr>
            </w:pPr>
            <w:r w:rsidRPr="0058389A">
              <w:rPr>
                <w:rFonts w:ascii="Arial" w:eastAsia="Calibri" w:hAnsi="Arial" w:cs="Arial"/>
                <w:sz w:val="18"/>
                <w:szCs w:val="18"/>
              </w:rPr>
              <w:t xml:space="preserve">    PCV7 serotypes</w:t>
            </w:r>
          </w:p>
        </w:tc>
        <w:tc>
          <w:tcPr>
            <w:tcW w:w="1921" w:type="dxa"/>
            <w:tcBorders>
              <w:top w:val="single" w:sz="4" w:space="0" w:color="auto"/>
            </w:tcBorders>
            <w:shd w:val="clear" w:color="auto" w:fill="F2F2F2"/>
            <w:vAlign w:val="center"/>
          </w:tcPr>
          <w:p w14:paraId="2BA8478B" w14:textId="77777777" w:rsidR="006F2AA8" w:rsidRPr="00142AFB" w:rsidRDefault="006F2AA8" w:rsidP="006F2AA8">
            <w:pPr>
              <w:jc w:val="center"/>
              <w:rPr>
                <w:rFonts w:ascii="Arial" w:eastAsia="Times New Roman" w:hAnsi="Arial" w:cs="Arial"/>
                <w:b/>
                <w:bCs/>
                <w:color w:val="000000"/>
                <w:sz w:val="18"/>
                <w:szCs w:val="18"/>
                <w:lang w:eastAsia="en-GB"/>
              </w:rPr>
            </w:pPr>
            <w:r w:rsidRPr="00142AFB">
              <w:rPr>
                <w:rFonts w:ascii="Arial" w:eastAsia="Times New Roman" w:hAnsi="Arial" w:cs="Arial"/>
                <w:b/>
                <w:bCs/>
                <w:color w:val="000000"/>
                <w:sz w:val="18"/>
                <w:szCs w:val="18"/>
                <w:lang w:eastAsia="en-GB"/>
              </w:rPr>
              <w:t>-87.6 (-90.1 to -84.5)</w:t>
            </w:r>
          </w:p>
        </w:tc>
        <w:tc>
          <w:tcPr>
            <w:tcW w:w="1922" w:type="dxa"/>
            <w:tcBorders>
              <w:top w:val="single" w:sz="4" w:space="0" w:color="auto"/>
            </w:tcBorders>
            <w:shd w:val="clear" w:color="auto" w:fill="F2F2F2"/>
            <w:vAlign w:val="center"/>
          </w:tcPr>
          <w:p w14:paraId="71CD5D16" w14:textId="77777777" w:rsidR="006F2AA8" w:rsidRPr="00142AFB" w:rsidRDefault="006F2AA8" w:rsidP="006F2AA8">
            <w:pPr>
              <w:jc w:val="center"/>
              <w:rPr>
                <w:rFonts w:ascii="Arial" w:eastAsia="Times New Roman" w:hAnsi="Arial" w:cs="Arial"/>
                <w:b/>
                <w:bCs/>
                <w:color w:val="000000"/>
                <w:sz w:val="18"/>
                <w:szCs w:val="18"/>
                <w:lang w:eastAsia="en-GB"/>
              </w:rPr>
            </w:pPr>
            <w:r w:rsidRPr="00142AFB">
              <w:rPr>
                <w:rFonts w:ascii="Arial" w:eastAsia="Times New Roman" w:hAnsi="Arial" w:cs="Arial"/>
                <w:b/>
                <w:bCs/>
                <w:color w:val="000000"/>
                <w:sz w:val="18"/>
                <w:szCs w:val="18"/>
                <w:lang w:eastAsia="en-GB"/>
              </w:rPr>
              <w:t>-89.7 (-92.6 to -85.7)</w:t>
            </w:r>
          </w:p>
        </w:tc>
        <w:tc>
          <w:tcPr>
            <w:tcW w:w="1922" w:type="dxa"/>
            <w:tcBorders>
              <w:top w:val="single" w:sz="4" w:space="0" w:color="auto"/>
            </w:tcBorders>
            <w:shd w:val="clear" w:color="auto" w:fill="F2F2F2"/>
            <w:vAlign w:val="center"/>
          </w:tcPr>
          <w:p w14:paraId="6E78FAAB" w14:textId="76CA1AE7" w:rsidR="006F2AA8" w:rsidRPr="00142AFB" w:rsidRDefault="00EF0307" w:rsidP="006F2AA8">
            <w:pPr>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-17.3 (0.35</w:t>
            </w:r>
            <w:r w:rsidR="006F2AA8" w:rsidRPr="00142AFB">
              <w:rPr>
                <w:rFonts w:ascii="Arial" w:eastAsia="Times New Roman" w:hAnsi="Arial" w:cs="Arial"/>
                <w:color w:val="000000"/>
                <w:sz w:val="18"/>
                <w:szCs w:val="18"/>
                <w:lang w:eastAsia="en-GB"/>
              </w:rPr>
              <w:t>)</w:t>
            </w:r>
          </w:p>
        </w:tc>
      </w:tr>
      <w:tr w:rsidR="006F2AA8" w:rsidRPr="00142AFB" w14:paraId="4E2E1DBA" w14:textId="77777777" w:rsidTr="008A4076">
        <w:tc>
          <w:tcPr>
            <w:tcW w:w="3261" w:type="dxa"/>
          </w:tcPr>
          <w:p w14:paraId="447E8DC8" w14:textId="7A7E8D08" w:rsidR="006F2AA8" w:rsidRPr="00EB1E89" w:rsidRDefault="006F2AA8" w:rsidP="006F2AA8">
            <w:pPr>
              <w:rPr>
                <w:rFonts w:ascii="Arial" w:eastAsia="Calibri" w:hAnsi="Arial" w:cs="Arial"/>
                <w:color w:val="000000" w:themeColor="text1"/>
                <w:sz w:val="18"/>
                <w:szCs w:val="18"/>
              </w:rPr>
            </w:pPr>
            <w:r w:rsidRPr="0058389A">
              <w:rPr>
                <w:rFonts w:ascii="Arial" w:eastAsia="Calibri" w:hAnsi="Arial" w:cs="Arial"/>
                <w:sz w:val="18"/>
                <w:szCs w:val="18"/>
              </w:rPr>
              <w:t xml:space="preserve">    Additional PCV13 serotypes</w:t>
            </w:r>
          </w:p>
        </w:tc>
        <w:tc>
          <w:tcPr>
            <w:tcW w:w="1921" w:type="dxa"/>
            <w:vAlign w:val="center"/>
          </w:tcPr>
          <w:p w14:paraId="4612178F" w14:textId="77777777" w:rsidR="006F2AA8" w:rsidRPr="00EB1E89" w:rsidRDefault="006F2AA8" w:rsidP="006F2AA8">
            <w:pPr>
              <w:jc w:val="center"/>
              <w:rPr>
                <w:rFonts w:ascii="Arial" w:eastAsia="Times New Roman" w:hAnsi="Arial" w:cs="Arial"/>
                <w:b/>
                <w:bCs/>
                <w:color w:val="000000" w:themeColor="text1"/>
                <w:sz w:val="18"/>
                <w:szCs w:val="18"/>
                <w:lang w:eastAsia="en-GB"/>
              </w:rPr>
            </w:pPr>
            <w:r w:rsidRPr="00EB1E89">
              <w:rPr>
                <w:rFonts w:ascii="Arial" w:eastAsia="Times New Roman" w:hAnsi="Arial" w:cs="Arial"/>
                <w:b/>
                <w:bCs/>
                <w:color w:val="000000" w:themeColor="text1"/>
                <w:sz w:val="18"/>
                <w:szCs w:val="18"/>
                <w:lang w:eastAsia="en-GB"/>
              </w:rPr>
              <w:t>-64.6 (-70.7 to -57.2)</w:t>
            </w:r>
          </w:p>
        </w:tc>
        <w:tc>
          <w:tcPr>
            <w:tcW w:w="1922" w:type="dxa"/>
            <w:vAlign w:val="center"/>
          </w:tcPr>
          <w:p w14:paraId="3F1EA3FD" w14:textId="77777777" w:rsidR="006F2AA8" w:rsidRPr="00EB1E89" w:rsidRDefault="006F2AA8" w:rsidP="006F2AA8">
            <w:pPr>
              <w:jc w:val="center"/>
              <w:rPr>
                <w:rFonts w:ascii="Arial" w:eastAsia="Times New Roman" w:hAnsi="Arial" w:cs="Arial"/>
                <w:b/>
                <w:bCs/>
                <w:color w:val="000000" w:themeColor="text1"/>
                <w:sz w:val="18"/>
                <w:szCs w:val="18"/>
                <w:lang w:eastAsia="en-GB"/>
              </w:rPr>
            </w:pPr>
            <w:r w:rsidRPr="00EB1E89">
              <w:rPr>
                <w:rFonts w:ascii="Arial" w:eastAsia="Times New Roman" w:hAnsi="Arial" w:cs="Arial"/>
                <w:b/>
                <w:bCs/>
                <w:color w:val="000000" w:themeColor="text1"/>
                <w:sz w:val="18"/>
                <w:szCs w:val="18"/>
                <w:lang w:eastAsia="en-GB"/>
              </w:rPr>
              <w:t>-70.3 (-78.8 to -58.5)</w:t>
            </w:r>
          </w:p>
        </w:tc>
        <w:tc>
          <w:tcPr>
            <w:tcW w:w="1922" w:type="dxa"/>
            <w:vAlign w:val="center"/>
          </w:tcPr>
          <w:p w14:paraId="1585EEFD" w14:textId="4334F56C" w:rsidR="006F2AA8" w:rsidRPr="00EB1E89" w:rsidRDefault="00EF0307" w:rsidP="006F2AA8">
            <w:pPr>
              <w:jc w:val="center"/>
              <w:rPr>
                <w:rFonts w:ascii="Arial" w:eastAsia="Times New Roman" w:hAnsi="Arial" w:cs="Arial"/>
                <w:color w:val="000000" w:themeColor="text1"/>
                <w:sz w:val="18"/>
                <w:szCs w:val="18"/>
                <w:lang w:eastAsia="en-GB"/>
              </w:rPr>
            </w:pPr>
            <w:r>
              <w:rPr>
                <w:rFonts w:ascii="Arial" w:eastAsia="Times New Roman" w:hAnsi="Arial" w:cs="Arial"/>
                <w:color w:val="000000" w:themeColor="text1"/>
                <w:sz w:val="18"/>
                <w:szCs w:val="18"/>
                <w:lang w:eastAsia="en-GB"/>
              </w:rPr>
              <w:t>-16.1 (0.37</w:t>
            </w:r>
            <w:r w:rsidR="006F2AA8" w:rsidRPr="00EB1E89">
              <w:rPr>
                <w:rFonts w:ascii="Arial" w:eastAsia="Times New Roman" w:hAnsi="Arial" w:cs="Arial"/>
                <w:color w:val="000000" w:themeColor="text1"/>
                <w:sz w:val="18"/>
                <w:szCs w:val="18"/>
                <w:lang w:eastAsia="en-GB"/>
              </w:rPr>
              <w:t>)</w:t>
            </w:r>
          </w:p>
        </w:tc>
      </w:tr>
      <w:tr w:rsidR="006F2AA8" w:rsidRPr="00142AFB" w14:paraId="6BAAACBE" w14:textId="77777777" w:rsidTr="008A4076">
        <w:tc>
          <w:tcPr>
            <w:tcW w:w="3261" w:type="dxa"/>
            <w:shd w:val="clear" w:color="auto" w:fill="F2F2F2"/>
          </w:tcPr>
          <w:p w14:paraId="5A373CCA" w14:textId="598EDC80" w:rsidR="006F2AA8" w:rsidRPr="00142AFB" w:rsidRDefault="006F2AA8" w:rsidP="006F2AA8">
            <w:pPr>
              <w:rPr>
                <w:rFonts w:ascii="Arial" w:eastAsia="Calibri" w:hAnsi="Arial" w:cs="Arial"/>
                <w:sz w:val="18"/>
                <w:szCs w:val="18"/>
              </w:rPr>
            </w:pPr>
            <w:r w:rsidRPr="0058389A">
              <w:rPr>
                <w:rFonts w:ascii="Arial" w:eastAsia="Calibri" w:hAnsi="Arial" w:cs="Arial"/>
                <w:sz w:val="18"/>
                <w:szCs w:val="18"/>
              </w:rPr>
              <w:t xml:space="preserve">    Non-PCV13 serotypes</w:t>
            </w:r>
          </w:p>
        </w:tc>
        <w:tc>
          <w:tcPr>
            <w:tcW w:w="1921" w:type="dxa"/>
            <w:shd w:val="clear" w:color="auto" w:fill="F2F2F2"/>
            <w:vAlign w:val="center"/>
          </w:tcPr>
          <w:p w14:paraId="1423F185" w14:textId="77777777" w:rsidR="006F2AA8" w:rsidRPr="00142AFB" w:rsidRDefault="006F2AA8" w:rsidP="006F2AA8">
            <w:pPr>
              <w:jc w:val="center"/>
              <w:rPr>
                <w:rFonts w:ascii="Arial" w:eastAsia="Times New Roman" w:hAnsi="Arial" w:cs="Arial"/>
                <w:color w:val="000000"/>
                <w:sz w:val="18"/>
                <w:szCs w:val="18"/>
                <w:lang w:eastAsia="en-GB"/>
              </w:rPr>
            </w:pPr>
            <w:r w:rsidRPr="00142AFB">
              <w:rPr>
                <w:rFonts w:ascii="Arial" w:eastAsia="Times New Roman" w:hAnsi="Arial" w:cs="Arial"/>
                <w:color w:val="000000"/>
                <w:sz w:val="18"/>
                <w:szCs w:val="18"/>
                <w:lang w:eastAsia="en-GB"/>
              </w:rPr>
              <w:t>5.9 (-10.7 to 25.6)</w:t>
            </w:r>
          </w:p>
        </w:tc>
        <w:tc>
          <w:tcPr>
            <w:tcW w:w="1922" w:type="dxa"/>
            <w:shd w:val="clear" w:color="auto" w:fill="F2F2F2"/>
            <w:vAlign w:val="center"/>
          </w:tcPr>
          <w:p w14:paraId="41F53084" w14:textId="77777777" w:rsidR="006F2AA8" w:rsidRPr="00142AFB" w:rsidRDefault="006F2AA8" w:rsidP="006F2AA8">
            <w:pPr>
              <w:jc w:val="center"/>
              <w:rPr>
                <w:rFonts w:ascii="Arial" w:eastAsia="Times New Roman" w:hAnsi="Arial" w:cs="Arial"/>
                <w:b/>
                <w:bCs/>
                <w:color w:val="000000"/>
                <w:sz w:val="18"/>
                <w:szCs w:val="18"/>
                <w:lang w:eastAsia="en-GB"/>
              </w:rPr>
            </w:pPr>
            <w:r w:rsidRPr="00142AFB">
              <w:rPr>
                <w:rFonts w:ascii="Arial" w:eastAsia="Times New Roman" w:hAnsi="Arial" w:cs="Arial"/>
                <w:b/>
                <w:bCs/>
                <w:color w:val="000000"/>
                <w:sz w:val="18"/>
                <w:szCs w:val="18"/>
                <w:lang w:eastAsia="en-GB"/>
              </w:rPr>
              <w:t>25.0 (1.1 to 54.5)</w:t>
            </w:r>
          </w:p>
        </w:tc>
        <w:tc>
          <w:tcPr>
            <w:tcW w:w="1922" w:type="dxa"/>
            <w:shd w:val="clear" w:color="auto" w:fill="F2F2F2"/>
            <w:vAlign w:val="center"/>
          </w:tcPr>
          <w:p w14:paraId="76531071" w14:textId="34026A71" w:rsidR="006F2AA8" w:rsidRPr="00142AFB" w:rsidRDefault="00EF0307" w:rsidP="006F2AA8">
            <w:pPr>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18.0 (0.23</w:t>
            </w:r>
            <w:r w:rsidR="006F2AA8" w:rsidRPr="00142AFB">
              <w:rPr>
                <w:rFonts w:ascii="Arial" w:eastAsia="Times New Roman" w:hAnsi="Arial" w:cs="Arial"/>
                <w:color w:val="000000"/>
                <w:sz w:val="18"/>
                <w:szCs w:val="18"/>
                <w:lang w:eastAsia="en-GB"/>
              </w:rPr>
              <w:t>)</w:t>
            </w:r>
          </w:p>
        </w:tc>
      </w:tr>
      <w:tr w:rsidR="006F2AA8" w:rsidRPr="00142AFB" w14:paraId="16B8423D" w14:textId="77777777" w:rsidTr="008A4076">
        <w:tc>
          <w:tcPr>
            <w:tcW w:w="3261" w:type="dxa"/>
            <w:tcBorders>
              <w:bottom w:val="single" w:sz="4" w:space="0" w:color="auto"/>
            </w:tcBorders>
          </w:tcPr>
          <w:p w14:paraId="0DB1F23B" w14:textId="271B8168" w:rsidR="006F2AA8" w:rsidRPr="00142AFB" w:rsidRDefault="006F2AA8" w:rsidP="006F2AA8">
            <w:pPr>
              <w:rPr>
                <w:rFonts w:ascii="Arial" w:eastAsia="Calibri" w:hAnsi="Arial" w:cs="Arial"/>
                <w:sz w:val="18"/>
                <w:szCs w:val="18"/>
              </w:rPr>
            </w:pPr>
            <w:r w:rsidRPr="0058389A">
              <w:rPr>
                <w:rFonts w:ascii="Arial" w:eastAsia="Calibri" w:hAnsi="Arial" w:cs="Arial"/>
                <w:sz w:val="18"/>
                <w:szCs w:val="18"/>
              </w:rPr>
              <w:t xml:space="preserve">    All serotypes</w:t>
            </w:r>
            <w:r>
              <w:rPr>
                <w:rFonts w:ascii="Arial" w:eastAsia="Calibri" w:hAnsi="Arial" w:cs="Arial"/>
                <w:sz w:val="18"/>
                <w:szCs w:val="18"/>
                <w:vertAlign w:val="superscript"/>
              </w:rPr>
              <w:t>b</w:t>
            </w:r>
          </w:p>
        </w:tc>
        <w:tc>
          <w:tcPr>
            <w:tcW w:w="1921" w:type="dxa"/>
            <w:tcBorders>
              <w:bottom w:val="single" w:sz="4" w:space="0" w:color="auto"/>
            </w:tcBorders>
            <w:vAlign w:val="center"/>
          </w:tcPr>
          <w:p w14:paraId="7EA688FD" w14:textId="77777777" w:rsidR="006F2AA8" w:rsidRPr="00142AFB" w:rsidRDefault="006F2AA8" w:rsidP="006F2AA8">
            <w:pPr>
              <w:jc w:val="center"/>
              <w:rPr>
                <w:rFonts w:ascii="Arial" w:eastAsia="Times New Roman" w:hAnsi="Arial" w:cs="Arial"/>
                <w:b/>
                <w:bCs/>
                <w:color w:val="000000"/>
                <w:sz w:val="18"/>
                <w:szCs w:val="18"/>
                <w:lang w:eastAsia="en-GB"/>
              </w:rPr>
            </w:pPr>
            <w:r w:rsidRPr="00142AFB">
              <w:rPr>
                <w:rFonts w:ascii="Arial" w:eastAsia="Times New Roman" w:hAnsi="Arial" w:cs="Arial"/>
                <w:b/>
                <w:bCs/>
                <w:color w:val="000000"/>
                <w:sz w:val="18"/>
                <w:szCs w:val="18"/>
                <w:lang w:eastAsia="en-GB"/>
              </w:rPr>
              <w:t>-67.7 (-70.9 to -64.0)</w:t>
            </w:r>
          </w:p>
        </w:tc>
        <w:tc>
          <w:tcPr>
            <w:tcW w:w="1922" w:type="dxa"/>
            <w:tcBorders>
              <w:bottom w:val="single" w:sz="4" w:space="0" w:color="auto"/>
            </w:tcBorders>
            <w:vAlign w:val="center"/>
          </w:tcPr>
          <w:p w14:paraId="55E23DA8" w14:textId="77777777" w:rsidR="006F2AA8" w:rsidRPr="00142AFB" w:rsidRDefault="006F2AA8" w:rsidP="006F2AA8">
            <w:pPr>
              <w:jc w:val="center"/>
              <w:rPr>
                <w:rFonts w:ascii="Arial" w:eastAsia="Times New Roman" w:hAnsi="Arial" w:cs="Arial"/>
                <w:b/>
                <w:bCs/>
                <w:color w:val="000000"/>
                <w:sz w:val="18"/>
                <w:szCs w:val="18"/>
                <w:lang w:eastAsia="en-GB"/>
              </w:rPr>
            </w:pPr>
            <w:r w:rsidRPr="00142AFB">
              <w:rPr>
                <w:rFonts w:ascii="Arial" w:eastAsia="Times New Roman" w:hAnsi="Arial" w:cs="Arial"/>
                <w:b/>
                <w:bCs/>
                <w:color w:val="000000"/>
                <w:sz w:val="18"/>
                <w:szCs w:val="18"/>
                <w:lang w:eastAsia="en-GB"/>
              </w:rPr>
              <w:t>-66.7 (-71.3 to -61.3)</w:t>
            </w:r>
          </w:p>
        </w:tc>
        <w:tc>
          <w:tcPr>
            <w:tcW w:w="1922" w:type="dxa"/>
            <w:tcBorders>
              <w:bottom w:val="single" w:sz="4" w:space="0" w:color="auto"/>
            </w:tcBorders>
            <w:vAlign w:val="center"/>
          </w:tcPr>
          <w:p w14:paraId="636437A9" w14:textId="73070DFC" w:rsidR="006F2AA8" w:rsidRPr="00142AFB" w:rsidRDefault="00EF0307" w:rsidP="006F2AA8">
            <w:pPr>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3.1 (0.74</w:t>
            </w:r>
            <w:r w:rsidR="006F2AA8" w:rsidRPr="00142AFB">
              <w:rPr>
                <w:rFonts w:ascii="Arial" w:eastAsia="Times New Roman" w:hAnsi="Arial" w:cs="Arial"/>
                <w:color w:val="000000"/>
                <w:sz w:val="18"/>
                <w:szCs w:val="18"/>
                <w:lang w:eastAsia="en-GB"/>
              </w:rPr>
              <w:t>)</w:t>
            </w:r>
          </w:p>
        </w:tc>
      </w:tr>
      <w:tr w:rsidR="006F2AA8" w:rsidRPr="00142AFB" w14:paraId="4C55F80B" w14:textId="77777777" w:rsidTr="008A4076">
        <w:tc>
          <w:tcPr>
            <w:tcW w:w="9026" w:type="dxa"/>
            <w:gridSpan w:val="4"/>
            <w:tcBorders>
              <w:top w:val="single" w:sz="4" w:space="0" w:color="auto"/>
              <w:bottom w:val="single" w:sz="4" w:space="0" w:color="auto"/>
            </w:tcBorders>
          </w:tcPr>
          <w:p w14:paraId="35D1CA98" w14:textId="6A085823" w:rsidR="006F2AA8" w:rsidRPr="00142AFB" w:rsidRDefault="006F2AA8" w:rsidP="006F2AA8">
            <w:pPr>
              <w:rPr>
                <w:rFonts w:ascii="Arial" w:eastAsia="Calibri" w:hAnsi="Arial" w:cs="Arial"/>
                <w:b/>
                <w:sz w:val="18"/>
                <w:szCs w:val="18"/>
              </w:rPr>
            </w:pPr>
            <w:r w:rsidRPr="0058389A">
              <w:rPr>
                <w:rFonts w:ascii="Arial" w:eastAsia="Calibri" w:hAnsi="Arial" w:cs="Arial"/>
                <w:b/>
                <w:sz w:val="18"/>
                <w:szCs w:val="18"/>
              </w:rPr>
              <w:t>Individuals aged ≥5 years</w:t>
            </w:r>
          </w:p>
        </w:tc>
      </w:tr>
      <w:tr w:rsidR="006F2AA8" w:rsidRPr="00142AFB" w14:paraId="03B562A6" w14:textId="77777777" w:rsidTr="008A4076">
        <w:tc>
          <w:tcPr>
            <w:tcW w:w="3261" w:type="dxa"/>
            <w:tcBorders>
              <w:top w:val="single" w:sz="4" w:space="0" w:color="auto"/>
            </w:tcBorders>
            <w:shd w:val="clear" w:color="auto" w:fill="F2F2F2"/>
          </w:tcPr>
          <w:p w14:paraId="19199B22" w14:textId="343F6CF0" w:rsidR="006F2AA8" w:rsidRPr="00142AFB" w:rsidRDefault="006F2AA8" w:rsidP="006F2AA8">
            <w:pPr>
              <w:rPr>
                <w:rFonts w:ascii="Arial" w:eastAsia="Calibri" w:hAnsi="Arial" w:cs="Arial"/>
                <w:sz w:val="18"/>
                <w:szCs w:val="18"/>
              </w:rPr>
            </w:pPr>
            <w:r w:rsidRPr="0058389A">
              <w:rPr>
                <w:rFonts w:ascii="Arial" w:eastAsia="Calibri" w:hAnsi="Arial" w:cs="Arial"/>
                <w:sz w:val="18"/>
                <w:szCs w:val="18"/>
              </w:rPr>
              <w:t xml:space="preserve">    PCV7 serotypes</w:t>
            </w:r>
          </w:p>
        </w:tc>
        <w:tc>
          <w:tcPr>
            <w:tcW w:w="1921" w:type="dxa"/>
            <w:tcBorders>
              <w:top w:val="single" w:sz="4" w:space="0" w:color="auto"/>
            </w:tcBorders>
            <w:shd w:val="clear" w:color="auto" w:fill="F2F2F2"/>
            <w:vAlign w:val="center"/>
          </w:tcPr>
          <w:p w14:paraId="066138BA" w14:textId="77777777" w:rsidR="006F2AA8" w:rsidRPr="00142AFB" w:rsidRDefault="006F2AA8" w:rsidP="006F2AA8">
            <w:pPr>
              <w:jc w:val="center"/>
              <w:rPr>
                <w:rFonts w:ascii="Arial" w:eastAsia="Times New Roman" w:hAnsi="Arial" w:cs="Arial"/>
                <w:b/>
                <w:bCs/>
                <w:color w:val="000000"/>
                <w:sz w:val="18"/>
                <w:szCs w:val="18"/>
                <w:lang w:eastAsia="en-GB"/>
              </w:rPr>
            </w:pPr>
            <w:r w:rsidRPr="00142AFB">
              <w:rPr>
                <w:rFonts w:ascii="Arial" w:eastAsia="Times New Roman" w:hAnsi="Arial" w:cs="Arial"/>
                <w:b/>
                <w:bCs/>
                <w:color w:val="000000"/>
                <w:sz w:val="18"/>
                <w:szCs w:val="18"/>
                <w:lang w:eastAsia="en-GB"/>
              </w:rPr>
              <w:t>-59.7 (-64.3 to -54.6)</w:t>
            </w:r>
          </w:p>
        </w:tc>
        <w:tc>
          <w:tcPr>
            <w:tcW w:w="1922" w:type="dxa"/>
            <w:tcBorders>
              <w:top w:val="single" w:sz="4" w:space="0" w:color="auto"/>
            </w:tcBorders>
            <w:shd w:val="clear" w:color="auto" w:fill="F2F2F2"/>
            <w:vAlign w:val="center"/>
          </w:tcPr>
          <w:p w14:paraId="5AC9F516" w14:textId="77777777" w:rsidR="006F2AA8" w:rsidRPr="00142AFB" w:rsidRDefault="006F2AA8" w:rsidP="006F2AA8">
            <w:pPr>
              <w:jc w:val="center"/>
              <w:rPr>
                <w:rFonts w:ascii="Arial" w:eastAsia="Times New Roman" w:hAnsi="Arial" w:cs="Arial"/>
                <w:b/>
                <w:bCs/>
                <w:color w:val="000000"/>
                <w:sz w:val="18"/>
                <w:szCs w:val="18"/>
                <w:lang w:eastAsia="en-GB"/>
              </w:rPr>
            </w:pPr>
            <w:r w:rsidRPr="00142AFB">
              <w:rPr>
                <w:rFonts w:ascii="Arial" w:eastAsia="Times New Roman" w:hAnsi="Arial" w:cs="Arial"/>
                <w:b/>
                <w:bCs/>
                <w:color w:val="000000"/>
                <w:sz w:val="18"/>
                <w:szCs w:val="18"/>
                <w:lang w:eastAsia="en-GB"/>
              </w:rPr>
              <w:t>-47.1 (-54.0 to -39.2)</w:t>
            </w:r>
          </w:p>
        </w:tc>
        <w:tc>
          <w:tcPr>
            <w:tcW w:w="1922" w:type="dxa"/>
            <w:tcBorders>
              <w:top w:val="single" w:sz="4" w:space="0" w:color="auto"/>
            </w:tcBorders>
            <w:shd w:val="clear" w:color="auto" w:fill="F2F2F2"/>
            <w:vAlign w:val="center"/>
          </w:tcPr>
          <w:p w14:paraId="10CC2BB4" w14:textId="5D7D5DC3" w:rsidR="006F2AA8" w:rsidRPr="00142AFB" w:rsidRDefault="006F2AA8" w:rsidP="00EF0307">
            <w:pPr>
              <w:jc w:val="center"/>
              <w:rPr>
                <w:rFonts w:ascii="Arial" w:eastAsia="Times New Roman" w:hAnsi="Arial" w:cs="Arial"/>
                <w:b/>
                <w:bCs/>
                <w:color w:val="000000"/>
                <w:sz w:val="18"/>
                <w:szCs w:val="18"/>
                <w:lang w:eastAsia="en-GB"/>
              </w:rPr>
            </w:pPr>
            <w:r w:rsidRPr="00142AFB">
              <w:rPr>
                <w:rFonts w:ascii="Arial" w:eastAsia="Times New Roman" w:hAnsi="Arial" w:cs="Arial"/>
                <w:b/>
                <w:bCs/>
                <w:color w:val="000000"/>
                <w:sz w:val="18"/>
                <w:szCs w:val="18"/>
                <w:lang w:eastAsia="en-GB"/>
              </w:rPr>
              <w:t>31.4 (0.0</w:t>
            </w:r>
            <w:r w:rsidR="00EF0307">
              <w:rPr>
                <w:rFonts w:ascii="Arial" w:eastAsia="Times New Roman" w:hAnsi="Arial" w:cs="Arial"/>
                <w:b/>
                <w:bCs/>
                <w:color w:val="000000"/>
                <w:sz w:val="18"/>
                <w:szCs w:val="18"/>
                <w:lang w:eastAsia="en-GB"/>
              </w:rPr>
              <w:t>1</w:t>
            </w:r>
            <w:r w:rsidRPr="00142AFB">
              <w:rPr>
                <w:rFonts w:ascii="Arial" w:eastAsia="Times New Roman" w:hAnsi="Arial" w:cs="Arial"/>
                <w:b/>
                <w:bCs/>
                <w:color w:val="000000"/>
                <w:sz w:val="18"/>
                <w:szCs w:val="18"/>
                <w:lang w:eastAsia="en-GB"/>
              </w:rPr>
              <w:t>)</w:t>
            </w:r>
          </w:p>
        </w:tc>
      </w:tr>
      <w:tr w:rsidR="006F2AA8" w:rsidRPr="00142AFB" w14:paraId="583DAD16" w14:textId="77777777" w:rsidTr="008A4076">
        <w:tc>
          <w:tcPr>
            <w:tcW w:w="3261" w:type="dxa"/>
          </w:tcPr>
          <w:p w14:paraId="60962E01" w14:textId="24411AC8" w:rsidR="006F2AA8" w:rsidRPr="00142AFB" w:rsidRDefault="006F2AA8" w:rsidP="006F2AA8">
            <w:pPr>
              <w:rPr>
                <w:rFonts w:ascii="Arial" w:eastAsia="Calibri" w:hAnsi="Arial" w:cs="Arial"/>
                <w:sz w:val="18"/>
                <w:szCs w:val="18"/>
              </w:rPr>
            </w:pPr>
            <w:r w:rsidRPr="0058389A">
              <w:rPr>
                <w:rFonts w:ascii="Arial" w:eastAsia="Calibri" w:hAnsi="Arial" w:cs="Arial"/>
                <w:sz w:val="18"/>
                <w:szCs w:val="18"/>
              </w:rPr>
              <w:t xml:space="preserve">    Additional PCV13 serotypes</w:t>
            </w:r>
          </w:p>
        </w:tc>
        <w:tc>
          <w:tcPr>
            <w:tcW w:w="1921" w:type="dxa"/>
            <w:vAlign w:val="center"/>
          </w:tcPr>
          <w:p w14:paraId="7C6FC2F0" w14:textId="77777777" w:rsidR="006F2AA8" w:rsidRPr="00142AFB" w:rsidRDefault="006F2AA8" w:rsidP="006F2AA8">
            <w:pPr>
              <w:jc w:val="center"/>
              <w:rPr>
                <w:rFonts w:ascii="Arial" w:eastAsia="Times New Roman" w:hAnsi="Arial" w:cs="Arial"/>
                <w:b/>
                <w:bCs/>
                <w:color w:val="000000"/>
                <w:sz w:val="18"/>
                <w:szCs w:val="18"/>
                <w:lang w:eastAsia="en-GB"/>
              </w:rPr>
            </w:pPr>
            <w:r w:rsidRPr="00142AFB">
              <w:rPr>
                <w:rFonts w:ascii="Arial" w:eastAsia="Times New Roman" w:hAnsi="Arial" w:cs="Arial"/>
                <w:b/>
                <w:bCs/>
                <w:color w:val="000000"/>
                <w:sz w:val="18"/>
                <w:szCs w:val="18"/>
                <w:lang w:eastAsia="en-GB"/>
              </w:rPr>
              <w:t>-29.0 (-34.8 to -22.7)</w:t>
            </w:r>
          </w:p>
        </w:tc>
        <w:tc>
          <w:tcPr>
            <w:tcW w:w="1922" w:type="dxa"/>
            <w:vAlign w:val="center"/>
          </w:tcPr>
          <w:p w14:paraId="66966493" w14:textId="77777777" w:rsidR="006F2AA8" w:rsidRPr="00142AFB" w:rsidRDefault="006F2AA8" w:rsidP="006F2AA8">
            <w:pPr>
              <w:jc w:val="center"/>
              <w:rPr>
                <w:rFonts w:ascii="Arial" w:eastAsia="Times New Roman" w:hAnsi="Arial" w:cs="Arial"/>
                <w:b/>
                <w:bCs/>
                <w:color w:val="000000"/>
                <w:sz w:val="18"/>
                <w:szCs w:val="18"/>
                <w:lang w:eastAsia="en-GB"/>
              </w:rPr>
            </w:pPr>
            <w:r w:rsidRPr="00142AFB">
              <w:rPr>
                <w:rFonts w:ascii="Arial" w:eastAsia="Times New Roman" w:hAnsi="Arial" w:cs="Arial"/>
                <w:b/>
                <w:bCs/>
                <w:color w:val="000000"/>
                <w:sz w:val="18"/>
                <w:szCs w:val="18"/>
                <w:lang w:eastAsia="en-GB"/>
              </w:rPr>
              <w:t>-26.6 (-35.4 to -16.6)</w:t>
            </w:r>
          </w:p>
        </w:tc>
        <w:tc>
          <w:tcPr>
            <w:tcW w:w="1922" w:type="dxa"/>
            <w:vAlign w:val="center"/>
          </w:tcPr>
          <w:p w14:paraId="329D511E" w14:textId="27DE752C" w:rsidR="006F2AA8" w:rsidRPr="00142AFB" w:rsidRDefault="00EF0307" w:rsidP="006F2AA8">
            <w:pPr>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3.4 (0.67</w:t>
            </w:r>
            <w:r w:rsidR="006F2AA8" w:rsidRPr="00142AFB">
              <w:rPr>
                <w:rFonts w:ascii="Arial" w:eastAsia="Times New Roman" w:hAnsi="Arial" w:cs="Arial"/>
                <w:color w:val="000000"/>
                <w:sz w:val="18"/>
                <w:szCs w:val="18"/>
                <w:lang w:eastAsia="en-GB"/>
              </w:rPr>
              <w:t>)</w:t>
            </w:r>
          </w:p>
        </w:tc>
      </w:tr>
      <w:tr w:rsidR="006F2AA8" w:rsidRPr="00142AFB" w14:paraId="43CCD4E9" w14:textId="77777777" w:rsidTr="008A4076">
        <w:tc>
          <w:tcPr>
            <w:tcW w:w="3261" w:type="dxa"/>
            <w:shd w:val="clear" w:color="auto" w:fill="F2F2F2"/>
          </w:tcPr>
          <w:p w14:paraId="5125FFE1" w14:textId="3F74DB5D" w:rsidR="006F2AA8" w:rsidRPr="00142AFB" w:rsidRDefault="006F2AA8" w:rsidP="006F2AA8">
            <w:pPr>
              <w:rPr>
                <w:rFonts w:ascii="Arial" w:eastAsia="Calibri" w:hAnsi="Arial" w:cs="Arial"/>
                <w:sz w:val="18"/>
                <w:szCs w:val="18"/>
              </w:rPr>
            </w:pPr>
            <w:r w:rsidRPr="0058389A">
              <w:rPr>
                <w:rFonts w:ascii="Arial" w:eastAsia="Calibri" w:hAnsi="Arial" w:cs="Arial"/>
                <w:sz w:val="18"/>
                <w:szCs w:val="18"/>
              </w:rPr>
              <w:t xml:space="preserve">    Non-PCV13 serotypes</w:t>
            </w:r>
          </w:p>
        </w:tc>
        <w:tc>
          <w:tcPr>
            <w:tcW w:w="1921" w:type="dxa"/>
            <w:shd w:val="clear" w:color="auto" w:fill="F2F2F2"/>
            <w:vAlign w:val="center"/>
          </w:tcPr>
          <w:p w14:paraId="39D6413E" w14:textId="77777777" w:rsidR="006F2AA8" w:rsidRPr="00142AFB" w:rsidRDefault="006F2AA8" w:rsidP="006F2AA8">
            <w:pPr>
              <w:jc w:val="center"/>
              <w:rPr>
                <w:rFonts w:ascii="Arial" w:eastAsia="Times New Roman" w:hAnsi="Arial" w:cs="Arial"/>
                <w:color w:val="000000"/>
                <w:sz w:val="18"/>
                <w:szCs w:val="18"/>
                <w:lang w:eastAsia="en-GB"/>
              </w:rPr>
            </w:pPr>
            <w:r w:rsidRPr="00142AFB">
              <w:rPr>
                <w:rFonts w:ascii="Arial" w:eastAsia="Times New Roman" w:hAnsi="Arial" w:cs="Arial"/>
                <w:color w:val="000000"/>
                <w:sz w:val="18"/>
                <w:szCs w:val="18"/>
                <w:lang w:eastAsia="en-GB"/>
              </w:rPr>
              <w:t>-6.5 (-14.8 to 2.7)</w:t>
            </w:r>
          </w:p>
        </w:tc>
        <w:tc>
          <w:tcPr>
            <w:tcW w:w="1922" w:type="dxa"/>
            <w:shd w:val="clear" w:color="auto" w:fill="F2F2F2"/>
            <w:vAlign w:val="center"/>
          </w:tcPr>
          <w:p w14:paraId="6B91AD94" w14:textId="77777777" w:rsidR="006F2AA8" w:rsidRPr="00142AFB" w:rsidRDefault="006F2AA8" w:rsidP="006F2AA8">
            <w:pPr>
              <w:jc w:val="center"/>
              <w:rPr>
                <w:rFonts w:ascii="Arial" w:eastAsia="Times New Roman" w:hAnsi="Arial" w:cs="Arial"/>
                <w:b/>
                <w:bCs/>
                <w:color w:val="000000"/>
                <w:sz w:val="18"/>
                <w:szCs w:val="18"/>
                <w:lang w:eastAsia="en-GB"/>
              </w:rPr>
            </w:pPr>
            <w:r w:rsidRPr="00142AFB">
              <w:rPr>
                <w:rFonts w:ascii="Arial" w:eastAsia="Times New Roman" w:hAnsi="Arial" w:cs="Arial"/>
                <w:b/>
                <w:bCs/>
                <w:color w:val="000000"/>
                <w:sz w:val="18"/>
                <w:szCs w:val="18"/>
                <w:lang w:eastAsia="en-GB"/>
              </w:rPr>
              <w:t>61.5 (47.7 to 76.5)</w:t>
            </w:r>
          </w:p>
        </w:tc>
        <w:tc>
          <w:tcPr>
            <w:tcW w:w="1922" w:type="dxa"/>
            <w:shd w:val="clear" w:color="auto" w:fill="F2F2F2"/>
            <w:vAlign w:val="center"/>
          </w:tcPr>
          <w:p w14:paraId="4EBD0099" w14:textId="4DE26EC9" w:rsidR="006F2AA8" w:rsidRPr="00142AFB" w:rsidRDefault="006F2AA8" w:rsidP="00EF0307">
            <w:pPr>
              <w:jc w:val="center"/>
              <w:rPr>
                <w:rFonts w:ascii="Arial" w:eastAsia="Times New Roman" w:hAnsi="Arial" w:cs="Arial"/>
                <w:b/>
                <w:bCs/>
                <w:color w:val="000000"/>
                <w:sz w:val="18"/>
                <w:szCs w:val="18"/>
                <w:lang w:eastAsia="en-GB"/>
              </w:rPr>
            </w:pPr>
            <w:r w:rsidRPr="00142AFB">
              <w:rPr>
                <w:rFonts w:ascii="Arial" w:eastAsia="Times New Roman" w:hAnsi="Arial" w:cs="Arial"/>
                <w:b/>
                <w:bCs/>
                <w:color w:val="000000"/>
                <w:sz w:val="18"/>
                <w:szCs w:val="18"/>
                <w:lang w:eastAsia="en-GB"/>
              </w:rPr>
              <w:t>72.6 (&lt;0.0</w:t>
            </w:r>
            <w:r w:rsidR="00EF0307">
              <w:rPr>
                <w:rFonts w:ascii="Arial" w:eastAsia="Times New Roman" w:hAnsi="Arial" w:cs="Arial"/>
                <w:b/>
                <w:bCs/>
                <w:color w:val="000000"/>
                <w:sz w:val="18"/>
                <w:szCs w:val="18"/>
                <w:lang w:eastAsia="en-GB"/>
              </w:rPr>
              <w:t>1</w:t>
            </w:r>
            <w:r w:rsidRPr="00142AFB">
              <w:rPr>
                <w:rFonts w:ascii="Arial" w:eastAsia="Times New Roman" w:hAnsi="Arial" w:cs="Arial"/>
                <w:b/>
                <w:bCs/>
                <w:color w:val="000000"/>
                <w:sz w:val="18"/>
                <w:szCs w:val="18"/>
                <w:lang w:eastAsia="en-GB"/>
              </w:rPr>
              <w:t>)</w:t>
            </w:r>
          </w:p>
        </w:tc>
      </w:tr>
      <w:tr w:rsidR="006F2AA8" w:rsidRPr="00142AFB" w14:paraId="63B2EF26" w14:textId="77777777" w:rsidTr="008A4076">
        <w:tc>
          <w:tcPr>
            <w:tcW w:w="3261" w:type="dxa"/>
            <w:tcBorders>
              <w:bottom w:val="single" w:sz="4" w:space="0" w:color="auto"/>
            </w:tcBorders>
          </w:tcPr>
          <w:p w14:paraId="2410B4A1" w14:textId="69BA9417" w:rsidR="006F2AA8" w:rsidRPr="00142AFB" w:rsidRDefault="006F2AA8" w:rsidP="006F2AA8">
            <w:pPr>
              <w:rPr>
                <w:rFonts w:ascii="Arial" w:eastAsia="Calibri" w:hAnsi="Arial" w:cs="Arial"/>
                <w:sz w:val="18"/>
                <w:szCs w:val="18"/>
              </w:rPr>
            </w:pPr>
            <w:r w:rsidRPr="0058389A">
              <w:rPr>
                <w:rFonts w:ascii="Arial" w:eastAsia="Calibri" w:hAnsi="Arial" w:cs="Arial"/>
                <w:sz w:val="18"/>
                <w:szCs w:val="18"/>
              </w:rPr>
              <w:t xml:space="preserve">    All serotypes</w:t>
            </w:r>
            <w:r>
              <w:rPr>
                <w:rFonts w:ascii="Arial" w:eastAsia="Calibri" w:hAnsi="Arial" w:cs="Arial"/>
                <w:sz w:val="18"/>
                <w:szCs w:val="18"/>
                <w:vertAlign w:val="superscript"/>
              </w:rPr>
              <w:t>b</w:t>
            </w:r>
          </w:p>
        </w:tc>
        <w:tc>
          <w:tcPr>
            <w:tcW w:w="1921" w:type="dxa"/>
            <w:tcBorders>
              <w:bottom w:val="single" w:sz="4" w:space="0" w:color="auto"/>
            </w:tcBorders>
            <w:vAlign w:val="center"/>
          </w:tcPr>
          <w:p w14:paraId="2FEE50FE" w14:textId="77777777" w:rsidR="006F2AA8" w:rsidRPr="00142AFB" w:rsidRDefault="006F2AA8" w:rsidP="006F2AA8">
            <w:pPr>
              <w:jc w:val="center"/>
              <w:rPr>
                <w:rFonts w:ascii="Arial" w:eastAsia="Times New Roman" w:hAnsi="Arial" w:cs="Arial"/>
                <w:b/>
                <w:bCs/>
                <w:color w:val="000000"/>
                <w:sz w:val="18"/>
                <w:szCs w:val="18"/>
                <w:lang w:eastAsia="en-GB"/>
              </w:rPr>
            </w:pPr>
            <w:r w:rsidRPr="00142AFB">
              <w:rPr>
                <w:rFonts w:ascii="Arial" w:eastAsia="Times New Roman" w:hAnsi="Arial" w:cs="Arial"/>
                <w:b/>
                <w:bCs/>
                <w:color w:val="000000"/>
                <w:sz w:val="18"/>
                <w:szCs w:val="18"/>
                <w:lang w:eastAsia="en-GB"/>
              </w:rPr>
              <w:t>-33.1 (-36.7 to -29.2)</w:t>
            </w:r>
          </w:p>
        </w:tc>
        <w:tc>
          <w:tcPr>
            <w:tcW w:w="1922" w:type="dxa"/>
            <w:tcBorders>
              <w:bottom w:val="single" w:sz="4" w:space="0" w:color="auto"/>
            </w:tcBorders>
            <w:vAlign w:val="center"/>
          </w:tcPr>
          <w:p w14:paraId="64A5E535" w14:textId="77777777" w:rsidR="006F2AA8" w:rsidRPr="00142AFB" w:rsidRDefault="006F2AA8" w:rsidP="006F2AA8">
            <w:pPr>
              <w:jc w:val="center"/>
              <w:rPr>
                <w:rFonts w:ascii="Arial" w:eastAsia="Times New Roman" w:hAnsi="Arial" w:cs="Arial"/>
                <w:color w:val="000000"/>
                <w:sz w:val="18"/>
                <w:szCs w:val="18"/>
                <w:lang w:eastAsia="en-GB"/>
              </w:rPr>
            </w:pPr>
            <w:r w:rsidRPr="00142AFB">
              <w:rPr>
                <w:rFonts w:ascii="Arial" w:eastAsia="Times New Roman" w:hAnsi="Arial" w:cs="Arial"/>
                <w:color w:val="000000"/>
                <w:sz w:val="18"/>
                <w:szCs w:val="18"/>
                <w:lang w:eastAsia="en-GB"/>
              </w:rPr>
              <w:t>-3.3 (-9.2 to 3.1)</w:t>
            </w:r>
          </w:p>
        </w:tc>
        <w:tc>
          <w:tcPr>
            <w:tcW w:w="1922" w:type="dxa"/>
            <w:tcBorders>
              <w:bottom w:val="single" w:sz="4" w:space="0" w:color="auto"/>
            </w:tcBorders>
            <w:vAlign w:val="center"/>
          </w:tcPr>
          <w:p w14:paraId="4B57004A" w14:textId="382B8AAB" w:rsidR="006F2AA8" w:rsidRPr="00142AFB" w:rsidRDefault="006F2AA8" w:rsidP="00EF0307">
            <w:pPr>
              <w:jc w:val="center"/>
              <w:rPr>
                <w:rFonts w:ascii="Arial" w:eastAsia="Times New Roman" w:hAnsi="Arial" w:cs="Arial"/>
                <w:b/>
                <w:bCs/>
                <w:color w:val="000000"/>
                <w:sz w:val="18"/>
                <w:szCs w:val="18"/>
                <w:lang w:eastAsia="en-GB"/>
              </w:rPr>
            </w:pPr>
            <w:r w:rsidRPr="00142AFB">
              <w:rPr>
                <w:rFonts w:ascii="Arial" w:eastAsia="Times New Roman" w:hAnsi="Arial" w:cs="Arial"/>
                <w:b/>
                <w:bCs/>
                <w:color w:val="000000"/>
                <w:sz w:val="18"/>
                <w:szCs w:val="18"/>
                <w:lang w:eastAsia="en-GB"/>
              </w:rPr>
              <w:t>44.5 (&lt;0.0</w:t>
            </w:r>
            <w:r w:rsidR="00EF0307">
              <w:rPr>
                <w:rFonts w:ascii="Arial" w:eastAsia="Times New Roman" w:hAnsi="Arial" w:cs="Arial"/>
                <w:b/>
                <w:bCs/>
                <w:color w:val="000000"/>
                <w:sz w:val="18"/>
                <w:szCs w:val="18"/>
                <w:lang w:eastAsia="en-GB"/>
              </w:rPr>
              <w:t>1</w:t>
            </w:r>
            <w:r w:rsidRPr="00142AFB">
              <w:rPr>
                <w:rFonts w:ascii="Arial" w:eastAsia="Times New Roman" w:hAnsi="Arial" w:cs="Arial"/>
                <w:b/>
                <w:bCs/>
                <w:color w:val="000000"/>
                <w:sz w:val="18"/>
                <w:szCs w:val="18"/>
                <w:lang w:eastAsia="en-GB"/>
              </w:rPr>
              <w:t>)</w:t>
            </w:r>
          </w:p>
        </w:tc>
      </w:tr>
      <w:tr w:rsidR="006F2AA8" w:rsidRPr="00142AFB" w14:paraId="644C736C" w14:textId="77777777" w:rsidTr="008A4076">
        <w:tc>
          <w:tcPr>
            <w:tcW w:w="9026" w:type="dxa"/>
            <w:gridSpan w:val="4"/>
            <w:tcBorders>
              <w:top w:val="single" w:sz="4" w:space="0" w:color="auto"/>
              <w:bottom w:val="single" w:sz="4" w:space="0" w:color="auto"/>
            </w:tcBorders>
          </w:tcPr>
          <w:p w14:paraId="628D5D98" w14:textId="0D0C88A5" w:rsidR="006F2AA8" w:rsidRPr="00142AFB" w:rsidRDefault="006F2AA8" w:rsidP="006F2AA8">
            <w:pPr>
              <w:rPr>
                <w:rFonts w:ascii="Arial" w:eastAsia="Calibri" w:hAnsi="Arial" w:cs="Arial"/>
                <w:b/>
                <w:sz w:val="18"/>
                <w:szCs w:val="18"/>
              </w:rPr>
            </w:pPr>
            <w:r w:rsidRPr="0058389A">
              <w:rPr>
                <w:rFonts w:ascii="Arial" w:eastAsia="Calibri" w:hAnsi="Arial" w:cs="Arial"/>
                <w:b/>
                <w:sz w:val="18"/>
                <w:szCs w:val="18"/>
              </w:rPr>
              <w:t>Individuals of all ages</w:t>
            </w:r>
          </w:p>
        </w:tc>
      </w:tr>
      <w:tr w:rsidR="006F2AA8" w:rsidRPr="00142AFB" w14:paraId="151DD433" w14:textId="77777777" w:rsidTr="008A4076">
        <w:tc>
          <w:tcPr>
            <w:tcW w:w="3261" w:type="dxa"/>
            <w:tcBorders>
              <w:top w:val="single" w:sz="4" w:space="0" w:color="auto"/>
            </w:tcBorders>
            <w:shd w:val="clear" w:color="auto" w:fill="F2F2F2"/>
          </w:tcPr>
          <w:p w14:paraId="63F4E2F4" w14:textId="7D13DC30" w:rsidR="006F2AA8" w:rsidRPr="00142AFB" w:rsidRDefault="006F2AA8" w:rsidP="006F2AA8">
            <w:pPr>
              <w:rPr>
                <w:rFonts w:ascii="Arial" w:eastAsia="Calibri" w:hAnsi="Arial" w:cs="Arial"/>
                <w:sz w:val="18"/>
                <w:szCs w:val="18"/>
              </w:rPr>
            </w:pPr>
            <w:r w:rsidRPr="0058389A">
              <w:rPr>
                <w:rFonts w:ascii="Arial" w:eastAsia="Calibri" w:hAnsi="Arial" w:cs="Arial"/>
                <w:sz w:val="18"/>
                <w:szCs w:val="18"/>
              </w:rPr>
              <w:t xml:space="preserve">    PCV7 serotypes</w:t>
            </w:r>
            <w:r>
              <w:rPr>
                <w:rFonts w:ascii="Arial" w:eastAsia="Calibri" w:hAnsi="Arial" w:cs="Arial"/>
                <w:sz w:val="18"/>
                <w:szCs w:val="18"/>
                <w:vertAlign w:val="superscript"/>
              </w:rPr>
              <w:t>c</w:t>
            </w:r>
          </w:p>
        </w:tc>
        <w:tc>
          <w:tcPr>
            <w:tcW w:w="1921" w:type="dxa"/>
            <w:tcBorders>
              <w:top w:val="single" w:sz="4" w:space="0" w:color="auto"/>
            </w:tcBorders>
            <w:shd w:val="clear" w:color="auto" w:fill="F2F2F2"/>
            <w:vAlign w:val="center"/>
          </w:tcPr>
          <w:p w14:paraId="44B399FC" w14:textId="77777777" w:rsidR="006F2AA8" w:rsidRPr="00142AFB" w:rsidRDefault="006F2AA8" w:rsidP="006F2AA8">
            <w:pPr>
              <w:jc w:val="center"/>
              <w:rPr>
                <w:rFonts w:ascii="Arial" w:eastAsia="Times New Roman" w:hAnsi="Arial" w:cs="Arial"/>
                <w:b/>
                <w:bCs/>
                <w:color w:val="000000"/>
                <w:sz w:val="18"/>
                <w:szCs w:val="18"/>
                <w:lang w:eastAsia="en-GB"/>
              </w:rPr>
            </w:pPr>
            <w:r w:rsidRPr="00142AFB">
              <w:rPr>
                <w:rFonts w:ascii="Arial" w:eastAsia="Times New Roman" w:hAnsi="Arial" w:cs="Arial"/>
                <w:b/>
                <w:bCs/>
                <w:color w:val="000000"/>
                <w:sz w:val="18"/>
                <w:szCs w:val="18"/>
                <w:lang w:eastAsia="en-GB"/>
              </w:rPr>
              <w:t>-72.8 (-75.6 to -69.8)</w:t>
            </w:r>
          </w:p>
        </w:tc>
        <w:tc>
          <w:tcPr>
            <w:tcW w:w="1922" w:type="dxa"/>
            <w:tcBorders>
              <w:top w:val="single" w:sz="4" w:space="0" w:color="auto"/>
            </w:tcBorders>
            <w:shd w:val="clear" w:color="auto" w:fill="F2F2F2"/>
            <w:vAlign w:val="center"/>
          </w:tcPr>
          <w:p w14:paraId="39272F3D" w14:textId="77777777" w:rsidR="006F2AA8" w:rsidRPr="00142AFB" w:rsidRDefault="006F2AA8" w:rsidP="006F2AA8">
            <w:pPr>
              <w:jc w:val="center"/>
              <w:rPr>
                <w:rFonts w:ascii="Arial" w:eastAsia="Times New Roman" w:hAnsi="Arial" w:cs="Arial"/>
                <w:b/>
                <w:bCs/>
                <w:color w:val="000000"/>
                <w:sz w:val="18"/>
                <w:szCs w:val="18"/>
                <w:lang w:eastAsia="en-GB"/>
              </w:rPr>
            </w:pPr>
            <w:r w:rsidRPr="00142AFB">
              <w:rPr>
                <w:rFonts w:ascii="Arial" w:eastAsia="Times New Roman" w:hAnsi="Arial" w:cs="Arial"/>
                <w:b/>
                <w:bCs/>
                <w:color w:val="000000"/>
                <w:sz w:val="18"/>
                <w:szCs w:val="18"/>
                <w:lang w:eastAsia="en-GB"/>
              </w:rPr>
              <w:t>-66.2 (-70.2 to -61.6)</w:t>
            </w:r>
          </w:p>
        </w:tc>
        <w:tc>
          <w:tcPr>
            <w:tcW w:w="1922" w:type="dxa"/>
            <w:tcBorders>
              <w:top w:val="single" w:sz="4" w:space="0" w:color="auto"/>
            </w:tcBorders>
            <w:shd w:val="clear" w:color="auto" w:fill="F2F2F2"/>
            <w:vAlign w:val="center"/>
          </w:tcPr>
          <w:p w14:paraId="2F4C1712" w14:textId="3E6F7660" w:rsidR="006F2AA8" w:rsidRPr="00142AFB" w:rsidRDefault="006F2AA8" w:rsidP="00EF0307">
            <w:pPr>
              <w:jc w:val="center"/>
              <w:rPr>
                <w:rFonts w:ascii="Arial" w:eastAsia="Times New Roman" w:hAnsi="Arial" w:cs="Arial"/>
                <w:b/>
                <w:bCs/>
                <w:color w:val="000000"/>
                <w:sz w:val="18"/>
                <w:szCs w:val="18"/>
                <w:lang w:eastAsia="en-GB"/>
              </w:rPr>
            </w:pPr>
            <w:r w:rsidRPr="00142AFB">
              <w:rPr>
                <w:rFonts w:ascii="Arial" w:eastAsia="Times New Roman" w:hAnsi="Arial" w:cs="Arial"/>
                <w:b/>
                <w:bCs/>
                <w:color w:val="000000"/>
                <w:sz w:val="18"/>
                <w:szCs w:val="18"/>
                <w:lang w:eastAsia="en-GB"/>
              </w:rPr>
              <w:t>24.6 (0.0</w:t>
            </w:r>
            <w:r w:rsidR="00EF0307">
              <w:rPr>
                <w:rFonts w:ascii="Arial" w:eastAsia="Times New Roman" w:hAnsi="Arial" w:cs="Arial"/>
                <w:b/>
                <w:bCs/>
                <w:color w:val="000000"/>
                <w:sz w:val="18"/>
                <w:szCs w:val="18"/>
                <w:lang w:eastAsia="en-GB"/>
              </w:rPr>
              <w:t>1</w:t>
            </w:r>
            <w:r w:rsidRPr="00142AFB">
              <w:rPr>
                <w:rFonts w:ascii="Arial" w:eastAsia="Times New Roman" w:hAnsi="Arial" w:cs="Arial"/>
                <w:b/>
                <w:bCs/>
                <w:color w:val="000000"/>
                <w:sz w:val="18"/>
                <w:szCs w:val="18"/>
                <w:lang w:eastAsia="en-GB"/>
              </w:rPr>
              <w:t>)</w:t>
            </w:r>
          </w:p>
        </w:tc>
      </w:tr>
      <w:tr w:rsidR="006F2AA8" w:rsidRPr="00142AFB" w14:paraId="5EA17DC1" w14:textId="77777777" w:rsidTr="008A4076">
        <w:tc>
          <w:tcPr>
            <w:tcW w:w="3261" w:type="dxa"/>
          </w:tcPr>
          <w:p w14:paraId="34626705" w14:textId="700A6DAC" w:rsidR="006F2AA8" w:rsidRPr="00142AFB" w:rsidRDefault="006F2AA8" w:rsidP="006F2AA8">
            <w:pPr>
              <w:rPr>
                <w:rFonts w:ascii="Arial" w:eastAsia="Calibri" w:hAnsi="Arial" w:cs="Arial"/>
                <w:sz w:val="18"/>
                <w:szCs w:val="18"/>
              </w:rPr>
            </w:pPr>
            <w:r w:rsidRPr="0058389A">
              <w:rPr>
                <w:rFonts w:ascii="Arial" w:eastAsia="Calibri" w:hAnsi="Arial" w:cs="Arial"/>
                <w:sz w:val="18"/>
                <w:szCs w:val="18"/>
              </w:rPr>
              <w:t xml:space="preserve">    Additional PCV13 serotypes</w:t>
            </w:r>
            <w:r>
              <w:rPr>
                <w:rFonts w:ascii="Arial" w:eastAsia="Calibri" w:hAnsi="Arial" w:cs="Arial"/>
                <w:sz w:val="18"/>
                <w:szCs w:val="18"/>
                <w:vertAlign w:val="superscript"/>
              </w:rPr>
              <w:t>c</w:t>
            </w:r>
          </w:p>
        </w:tc>
        <w:tc>
          <w:tcPr>
            <w:tcW w:w="1921" w:type="dxa"/>
            <w:vAlign w:val="center"/>
          </w:tcPr>
          <w:p w14:paraId="3E16F106" w14:textId="77777777" w:rsidR="006F2AA8" w:rsidRPr="00142AFB" w:rsidRDefault="006F2AA8" w:rsidP="006F2AA8">
            <w:pPr>
              <w:jc w:val="center"/>
              <w:rPr>
                <w:rFonts w:ascii="Arial" w:eastAsia="Times New Roman" w:hAnsi="Arial" w:cs="Arial"/>
                <w:b/>
                <w:bCs/>
                <w:color w:val="000000"/>
                <w:sz w:val="18"/>
                <w:szCs w:val="18"/>
                <w:lang w:eastAsia="en-GB"/>
              </w:rPr>
            </w:pPr>
            <w:r w:rsidRPr="00142AFB">
              <w:rPr>
                <w:rFonts w:ascii="Arial" w:eastAsia="Times New Roman" w:hAnsi="Arial" w:cs="Arial"/>
                <w:b/>
                <w:bCs/>
                <w:color w:val="000000"/>
                <w:sz w:val="18"/>
                <w:szCs w:val="18"/>
                <w:lang w:eastAsia="en-GB"/>
              </w:rPr>
              <w:t>-38.6 (-43.2 to -33.7)</w:t>
            </w:r>
          </w:p>
        </w:tc>
        <w:tc>
          <w:tcPr>
            <w:tcW w:w="1922" w:type="dxa"/>
            <w:vAlign w:val="center"/>
          </w:tcPr>
          <w:p w14:paraId="11295497" w14:textId="77777777" w:rsidR="006F2AA8" w:rsidRPr="00142AFB" w:rsidRDefault="006F2AA8" w:rsidP="006F2AA8">
            <w:pPr>
              <w:jc w:val="center"/>
              <w:rPr>
                <w:rFonts w:ascii="Arial" w:eastAsia="Times New Roman" w:hAnsi="Arial" w:cs="Arial"/>
                <w:b/>
                <w:bCs/>
                <w:color w:val="000000"/>
                <w:sz w:val="18"/>
                <w:szCs w:val="18"/>
                <w:lang w:eastAsia="en-GB"/>
              </w:rPr>
            </w:pPr>
            <w:r w:rsidRPr="00142AFB">
              <w:rPr>
                <w:rFonts w:ascii="Arial" w:eastAsia="Times New Roman" w:hAnsi="Arial" w:cs="Arial"/>
                <w:b/>
                <w:bCs/>
                <w:color w:val="000000"/>
                <w:sz w:val="18"/>
                <w:szCs w:val="18"/>
                <w:lang w:eastAsia="en-GB"/>
              </w:rPr>
              <w:t>-37.3 (-44.3 to -29.4)</w:t>
            </w:r>
          </w:p>
        </w:tc>
        <w:tc>
          <w:tcPr>
            <w:tcW w:w="1922" w:type="dxa"/>
            <w:vAlign w:val="center"/>
          </w:tcPr>
          <w:p w14:paraId="799EDD6C" w14:textId="1440577A" w:rsidR="006F2AA8" w:rsidRPr="00142AFB" w:rsidRDefault="00EF0307" w:rsidP="006F2AA8">
            <w:pPr>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2.2 (0.77</w:t>
            </w:r>
            <w:r w:rsidR="006F2AA8" w:rsidRPr="00142AFB">
              <w:rPr>
                <w:rFonts w:ascii="Arial" w:eastAsia="Times New Roman" w:hAnsi="Arial" w:cs="Arial"/>
                <w:color w:val="000000"/>
                <w:sz w:val="18"/>
                <w:szCs w:val="18"/>
                <w:lang w:eastAsia="en-GB"/>
              </w:rPr>
              <w:t>)</w:t>
            </w:r>
          </w:p>
        </w:tc>
      </w:tr>
      <w:tr w:rsidR="006F2AA8" w:rsidRPr="00142AFB" w14:paraId="5798A570" w14:textId="77777777" w:rsidTr="008A4076">
        <w:tc>
          <w:tcPr>
            <w:tcW w:w="3261" w:type="dxa"/>
            <w:shd w:val="clear" w:color="auto" w:fill="F2F2F2"/>
          </w:tcPr>
          <w:p w14:paraId="74624953" w14:textId="37D3AE7A" w:rsidR="006F2AA8" w:rsidRPr="00142AFB" w:rsidRDefault="006F2AA8" w:rsidP="006F2AA8">
            <w:pPr>
              <w:rPr>
                <w:rFonts w:ascii="Arial" w:eastAsia="Calibri" w:hAnsi="Arial" w:cs="Arial"/>
                <w:b/>
                <w:sz w:val="18"/>
                <w:szCs w:val="18"/>
              </w:rPr>
            </w:pPr>
            <w:r w:rsidRPr="0058389A">
              <w:rPr>
                <w:rFonts w:ascii="Arial" w:eastAsia="Calibri" w:hAnsi="Arial" w:cs="Arial"/>
                <w:sz w:val="18"/>
                <w:szCs w:val="18"/>
              </w:rPr>
              <w:t xml:space="preserve">    Non-PCV13 serotypes</w:t>
            </w:r>
            <w:r>
              <w:rPr>
                <w:rFonts w:ascii="Arial" w:eastAsia="Calibri" w:hAnsi="Arial" w:cs="Arial"/>
                <w:sz w:val="18"/>
                <w:szCs w:val="18"/>
                <w:vertAlign w:val="superscript"/>
              </w:rPr>
              <w:t>c</w:t>
            </w:r>
          </w:p>
        </w:tc>
        <w:tc>
          <w:tcPr>
            <w:tcW w:w="1921" w:type="dxa"/>
            <w:shd w:val="clear" w:color="auto" w:fill="F2F2F2"/>
            <w:vAlign w:val="center"/>
          </w:tcPr>
          <w:p w14:paraId="79A3EAC9" w14:textId="77777777" w:rsidR="006F2AA8" w:rsidRPr="00142AFB" w:rsidRDefault="006F2AA8" w:rsidP="006F2AA8">
            <w:pPr>
              <w:jc w:val="center"/>
              <w:rPr>
                <w:rFonts w:ascii="Arial" w:eastAsia="Times New Roman" w:hAnsi="Arial" w:cs="Arial"/>
                <w:color w:val="000000"/>
                <w:sz w:val="18"/>
                <w:szCs w:val="18"/>
                <w:lang w:eastAsia="en-GB"/>
              </w:rPr>
            </w:pPr>
            <w:r w:rsidRPr="00142AFB">
              <w:rPr>
                <w:rFonts w:ascii="Arial" w:eastAsia="Times New Roman" w:hAnsi="Arial" w:cs="Arial"/>
                <w:color w:val="000000"/>
                <w:sz w:val="18"/>
                <w:szCs w:val="18"/>
                <w:lang w:eastAsia="en-GB"/>
              </w:rPr>
              <w:t>-3.8 (-11.3 to 4.4)</w:t>
            </w:r>
          </w:p>
        </w:tc>
        <w:tc>
          <w:tcPr>
            <w:tcW w:w="1922" w:type="dxa"/>
            <w:shd w:val="clear" w:color="auto" w:fill="F2F2F2"/>
            <w:vAlign w:val="center"/>
          </w:tcPr>
          <w:p w14:paraId="2073281E" w14:textId="77777777" w:rsidR="006F2AA8" w:rsidRPr="00142AFB" w:rsidRDefault="006F2AA8" w:rsidP="006F2AA8">
            <w:pPr>
              <w:jc w:val="center"/>
              <w:rPr>
                <w:rFonts w:ascii="Arial" w:eastAsia="Times New Roman" w:hAnsi="Arial" w:cs="Arial"/>
                <w:b/>
                <w:bCs/>
                <w:color w:val="000000"/>
                <w:sz w:val="18"/>
                <w:szCs w:val="18"/>
                <w:lang w:eastAsia="en-GB"/>
              </w:rPr>
            </w:pPr>
            <w:r w:rsidRPr="00142AFB">
              <w:rPr>
                <w:rFonts w:ascii="Arial" w:eastAsia="Times New Roman" w:hAnsi="Arial" w:cs="Arial"/>
                <w:b/>
                <w:bCs/>
                <w:color w:val="000000"/>
                <w:sz w:val="18"/>
                <w:szCs w:val="18"/>
                <w:lang w:eastAsia="en-GB"/>
              </w:rPr>
              <w:t>54.9 (42.7 to 68.1)</w:t>
            </w:r>
          </w:p>
        </w:tc>
        <w:tc>
          <w:tcPr>
            <w:tcW w:w="1922" w:type="dxa"/>
            <w:shd w:val="clear" w:color="auto" w:fill="F2F2F2"/>
            <w:vAlign w:val="center"/>
          </w:tcPr>
          <w:p w14:paraId="7CD6CD8D" w14:textId="46562F96" w:rsidR="006F2AA8" w:rsidRPr="00142AFB" w:rsidRDefault="006F2AA8" w:rsidP="00EF0307">
            <w:pPr>
              <w:jc w:val="center"/>
              <w:rPr>
                <w:rFonts w:ascii="Arial" w:eastAsia="Times New Roman" w:hAnsi="Arial" w:cs="Arial"/>
                <w:b/>
                <w:bCs/>
                <w:color w:val="000000"/>
                <w:sz w:val="18"/>
                <w:szCs w:val="18"/>
                <w:lang w:eastAsia="en-GB"/>
              </w:rPr>
            </w:pPr>
            <w:r w:rsidRPr="00142AFB">
              <w:rPr>
                <w:rFonts w:ascii="Arial" w:eastAsia="Times New Roman" w:hAnsi="Arial" w:cs="Arial"/>
                <w:b/>
                <w:bCs/>
                <w:color w:val="000000"/>
                <w:sz w:val="18"/>
                <w:szCs w:val="18"/>
                <w:lang w:eastAsia="en-GB"/>
              </w:rPr>
              <w:t>61.0 (&lt;0.0</w:t>
            </w:r>
            <w:r w:rsidR="00EF0307">
              <w:rPr>
                <w:rFonts w:ascii="Arial" w:eastAsia="Times New Roman" w:hAnsi="Arial" w:cs="Arial"/>
                <w:b/>
                <w:bCs/>
                <w:color w:val="000000"/>
                <w:sz w:val="18"/>
                <w:szCs w:val="18"/>
                <w:lang w:eastAsia="en-GB"/>
              </w:rPr>
              <w:t>1</w:t>
            </w:r>
            <w:r w:rsidRPr="00142AFB">
              <w:rPr>
                <w:rFonts w:ascii="Arial" w:eastAsia="Times New Roman" w:hAnsi="Arial" w:cs="Arial"/>
                <w:b/>
                <w:bCs/>
                <w:color w:val="000000"/>
                <w:sz w:val="18"/>
                <w:szCs w:val="18"/>
                <w:lang w:eastAsia="en-GB"/>
              </w:rPr>
              <w:t>)</w:t>
            </w:r>
          </w:p>
        </w:tc>
      </w:tr>
      <w:tr w:rsidR="006F2AA8" w:rsidRPr="00142AFB" w14:paraId="4A1DF1C5" w14:textId="77777777" w:rsidTr="008A4076">
        <w:tc>
          <w:tcPr>
            <w:tcW w:w="3261" w:type="dxa"/>
            <w:tcBorders>
              <w:bottom w:val="single" w:sz="4" w:space="0" w:color="auto"/>
            </w:tcBorders>
          </w:tcPr>
          <w:p w14:paraId="160FA669" w14:textId="032C0DAA" w:rsidR="006F2AA8" w:rsidRPr="00142AFB" w:rsidRDefault="006F2AA8" w:rsidP="006F2AA8">
            <w:pPr>
              <w:rPr>
                <w:rFonts w:ascii="Arial" w:eastAsia="Calibri" w:hAnsi="Arial" w:cs="Arial"/>
                <w:sz w:val="18"/>
                <w:szCs w:val="18"/>
              </w:rPr>
            </w:pPr>
            <w:r w:rsidRPr="0058389A">
              <w:rPr>
                <w:rFonts w:ascii="Arial" w:eastAsia="Calibri" w:hAnsi="Arial" w:cs="Arial"/>
                <w:sz w:val="18"/>
                <w:szCs w:val="18"/>
              </w:rPr>
              <w:t xml:space="preserve">    All serotypes</w:t>
            </w:r>
            <w:r>
              <w:rPr>
                <w:rFonts w:ascii="Arial" w:eastAsia="Calibri" w:hAnsi="Arial" w:cs="Arial"/>
                <w:sz w:val="18"/>
                <w:szCs w:val="18"/>
                <w:vertAlign w:val="superscript"/>
              </w:rPr>
              <w:t>d</w:t>
            </w:r>
          </w:p>
        </w:tc>
        <w:tc>
          <w:tcPr>
            <w:tcW w:w="1921" w:type="dxa"/>
            <w:tcBorders>
              <w:bottom w:val="single" w:sz="4" w:space="0" w:color="auto"/>
            </w:tcBorders>
            <w:vAlign w:val="center"/>
          </w:tcPr>
          <w:p w14:paraId="716FD31F" w14:textId="77777777" w:rsidR="006F2AA8" w:rsidRPr="00142AFB" w:rsidRDefault="006F2AA8" w:rsidP="006F2AA8">
            <w:pPr>
              <w:jc w:val="center"/>
              <w:rPr>
                <w:rFonts w:ascii="Arial" w:eastAsia="Times New Roman" w:hAnsi="Arial" w:cs="Arial"/>
                <w:b/>
                <w:bCs/>
                <w:color w:val="000000"/>
                <w:sz w:val="18"/>
                <w:szCs w:val="18"/>
                <w:lang w:eastAsia="en-GB"/>
              </w:rPr>
            </w:pPr>
            <w:r w:rsidRPr="00142AFB">
              <w:rPr>
                <w:rFonts w:ascii="Arial" w:eastAsia="Times New Roman" w:hAnsi="Arial" w:cs="Arial"/>
                <w:b/>
                <w:bCs/>
                <w:color w:val="000000"/>
                <w:sz w:val="18"/>
                <w:szCs w:val="18"/>
                <w:lang w:eastAsia="en-GB"/>
              </w:rPr>
              <w:t>-44.8 (-47.4 to -42.0)</w:t>
            </w:r>
          </w:p>
        </w:tc>
        <w:tc>
          <w:tcPr>
            <w:tcW w:w="1922" w:type="dxa"/>
            <w:tcBorders>
              <w:bottom w:val="single" w:sz="4" w:space="0" w:color="auto"/>
            </w:tcBorders>
            <w:vAlign w:val="center"/>
          </w:tcPr>
          <w:p w14:paraId="6A034951" w14:textId="77777777" w:rsidR="006F2AA8" w:rsidRPr="00142AFB" w:rsidRDefault="006F2AA8" w:rsidP="006F2AA8">
            <w:pPr>
              <w:jc w:val="center"/>
              <w:rPr>
                <w:rFonts w:ascii="Arial" w:eastAsia="Times New Roman" w:hAnsi="Arial" w:cs="Arial"/>
                <w:b/>
                <w:bCs/>
                <w:color w:val="000000"/>
                <w:sz w:val="18"/>
                <w:szCs w:val="18"/>
                <w:lang w:eastAsia="en-GB"/>
              </w:rPr>
            </w:pPr>
            <w:r w:rsidRPr="00142AFB">
              <w:rPr>
                <w:rFonts w:ascii="Arial" w:eastAsia="Times New Roman" w:hAnsi="Arial" w:cs="Arial"/>
                <w:b/>
                <w:bCs/>
                <w:color w:val="000000"/>
                <w:sz w:val="18"/>
                <w:szCs w:val="18"/>
                <w:lang w:eastAsia="en-GB"/>
              </w:rPr>
              <w:t>-23.0 (-27.4 to -18.4)</w:t>
            </w:r>
          </w:p>
        </w:tc>
        <w:tc>
          <w:tcPr>
            <w:tcW w:w="1922" w:type="dxa"/>
            <w:tcBorders>
              <w:bottom w:val="single" w:sz="4" w:space="0" w:color="auto"/>
            </w:tcBorders>
            <w:vAlign w:val="center"/>
          </w:tcPr>
          <w:p w14:paraId="1B208869" w14:textId="0E390811" w:rsidR="006F2AA8" w:rsidRPr="00142AFB" w:rsidRDefault="006F2AA8" w:rsidP="00EF0307">
            <w:pPr>
              <w:jc w:val="center"/>
              <w:rPr>
                <w:rFonts w:ascii="Arial" w:eastAsia="Times New Roman" w:hAnsi="Arial" w:cs="Arial"/>
                <w:b/>
                <w:bCs/>
                <w:color w:val="000000"/>
                <w:sz w:val="18"/>
                <w:szCs w:val="18"/>
                <w:lang w:eastAsia="en-GB"/>
              </w:rPr>
            </w:pPr>
            <w:r w:rsidRPr="00142AFB">
              <w:rPr>
                <w:rFonts w:ascii="Arial" w:eastAsia="Times New Roman" w:hAnsi="Arial" w:cs="Arial"/>
                <w:b/>
                <w:bCs/>
                <w:color w:val="000000"/>
                <w:sz w:val="18"/>
                <w:szCs w:val="18"/>
                <w:lang w:eastAsia="en-GB"/>
              </w:rPr>
              <w:t>39.4 (&lt;0.0</w:t>
            </w:r>
            <w:r w:rsidR="00EF0307">
              <w:rPr>
                <w:rFonts w:ascii="Arial" w:eastAsia="Times New Roman" w:hAnsi="Arial" w:cs="Arial"/>
                <w:b/>
                <w:bCs/>
                <w:color w:val="000000"/>
                <w:sz w:val="18"/>
                <w:szCs w:val="18"/>
                <w:lang w:eastAsia="en-GB"/>
              </w:rPr>
              <w:t>1</w:t>
            </w:r>
            <w:r w:rsidRPr="00142AFB">
              <w:rPr>
                <w:rFonts w:ascii="Arial" w:eastAsia="Times New Roman" w:hAnsi="Arial" w:cs="Arial"/>
                <w:b/>
                <w:bCs/>
                <w:color w:val="000000"/>
                <w:sz w:val="18"/>
                <w:szCs w:val="18"/>
                <w:lang w:eastAsia="en-GB"/>
              </w:rPr>
              <w:t>)</w:t>
            </w:r>
          </w:p>
        </w:tc>
      </w:tr>
    </w:tbl>
    <w:p w14:paraId="1668A2F6" w14:textId="77777777" w:rsidR="00CF32A2" w:rsidRPr="00CF32A2" w:rsidRDefault="00CF32A2" w:rsidP="00CF32A2">
      <w:pPr>
        <w:spacing w:after="0" w:line="240" w:lineRule="auto"/>
        <w:rPr>
          <w:rFonts w:ascii="Arial" w:eastAsia="Calibri" w:hAnsi="Arial" w:cs="Arial"/>
          <w:sz w:val="16"/>
          <w:szCs w:val="20"/>
          <w:lang w:val="en-US"/>
        </w:rPr>
      </w:pPr>
      <w:r w:rsidRPr="00CF32A2">
        <w:rPr>
          <w:rFonts w:ascii="Arial" w:eastAsia="Calibri" w:hAnsi="Arial" w:cs="Arial"/>
          <w:sz w:val="16"/>
          <w:szCs w:val="20"/>
          <w:lang w:val="en-US"/>
        </w:rPr>
        <w:t>Abbreviations: CI: confidence intervals; PCV: pneumococcal conjugate vaccine; PCV7 serotypes: 4, 6B, 9V, 14, 18C, 19F and 23F; Additional PCV13 serotypes: 1, 3, 5, 6A, 7F and 19A; Non-PCV13 serotypes: all serotype not in PCV13.</w:t>
      </w:r>
    </w:p>
    <w:p w14:paraId="47407E8D" w14:textId="11C57C5E" w:rsidR="00CF32A2" w:rsidRPr="00CF32A2" w:rsidRDefault="00CF32A2" w:rsidP="00CF32A2">
      <w:pPr>
        <w:spacing w:after="0" w:line="240" w:lineRule="auto"/>
        <w:rPr>
          <w:rFonts w:ascii="Arial" w:eastAsia="Calibri" w:hAnsi="Arial" w:cs="Arial"/>
          <w:sz w:val="16"/>
          <w:szCs w:val="20"/>
          <w:lang w:val="en-US"/>
        </w:rPr>
      </w:pPr>
      <w:r w:rsidRPr="00CF32A2">
        <w:rPr>
          <w:rFonts w:ascii="Arial" w:eastAsia="Calibri" w:hAnsi="Arial" w:cs="Arial"/>
          <w:sz w:val="16"/>
          <w:szCs w:val="20"/>
          <w:lang w:val="en-US"/>
        </w:rPr>
        <w:t>a Percentage effect difference calculated as the rate ratio of the interaction te</w:t>
      </w:r>
      <w:r>
        <w:rPr>
          <w:rFonts w:ascii="Arial" w:eastAsia="Calibri" w:hAnsi="Arial" w:cs="Arial"/>
          <w:sz w:val="16"/>
          <w:szCs w:val="20"/>
          <w:lang w:val="en-US"/>
        </w:rPr>
        <w:t xml:space="preserve">rm for PCV period (2012 </w:t>
      </w:r>
      <w:r w:rsidRPr="00CF32A2">
        <w:rPr>
          <w:rFonts w:ascii="Arial" w:eastAsia="Calibri" w:hAnsi="Arial" w:cs="Arial"/>
          <w:sz w:val="16"/>
          <w:szCs w:val="20"/>
          <w:lang w:val="en-US"/>
        </w:rPr>
        <w:t>vs. 2</w:t>
      </w:r>
      <w:r>
        <w:rPr>
          <w:rFonts w:ascii="Arial" w:eastAsia="Calibri" w:hAnsi="Arial" w:cs="Arial"/>
          <w:sz w:val="16"/>
          <w:szCs w:val="20"/>
          <w:lang w:val="en-US"/>
        </w:rPr>
        <w:t>005-2008) and syndrome (PM vs. nm</w:t>
      </w:r>
      <w:r w:rsidRPr="00CF32A2">
        <w:rPr>
          <w:rFonts w:ascii="Arial" w:eastAsia="Calibri" w:hAnsi="Arial" w:cs="Arial"/>
          <w:sz w:val="16"/>
          <w:szCs w:val="20"/>
          <w:lang w:val="en-US"/>
        </w:rPr>
        <w:t>IPD) term minus 1 multiplied by 100</w:t>
      </w:r>
    </w:p>
    <w:p w14:paraId="1043B022" w14:textId="77777777" w:rsidR="00CF32A2" w:rsidRPr="00CF32A2" w:rsidRDefault="00CF32A2" w:rsidP="00CF32A2">
      <w:pPr>
        <w:spacing w:after="0" w:line="240" w:lineRule="auto"/>
        <w:rPr>
          <w:rFonts w:ascii="Arial" w:eastAsia="Calibri" w:hAnsi="Arial" w:cs="Arial"/>
          <w:sz w:val="16"/>
          <w:szCs w:val="20"/>
          <w:lang w:val="en-US"/>
        </w:rPr>
      </w:pPr>
      <w:r w:rsidRPr="00CF32A2">
        <w:rPr>
          <w:rFonts w:ascii="Arial" w:eastAsia="Calibri" w:hAnsi="Arial" w:cs="Arial"/>
          <w:sz w:val="16"/>
          <w:szCs w:val="20"/>
          <w:lang w:val="en-US"/>
        </w:rPr>
        <w:t>b Model adjusted by serotype groups: PCV7, additional PCV13 and non-PCV13 serotypes.</w:t>
      </w:r>
    </w:p>
    <w:p w14:paraId="0FC8B1B7" w14:textId="77777777" w:rsidR="00CF32A2" w:rsidRPr="00CF32A2" w:rsidRDefault="00CF32A2" w:rsidP="00CF32A2">
      <w:pPr>
        <w:spacing w:after="0" w:line="240" w:lineRule="auto"/>
        <w:rPr>
          <w:rFonts w:ascii="Arial" w:eastAsia="Calibri" w:hAnsi="Arial" w:cs="Arial"/>
          <w:sz w:val="16"/>
          <w:szCs w:val="20"/>
          <w:lang w:val="en-US"/>
        </w:rPr>
      </w:pPr>
      <w:r w:rsidRPr="00CF32A2">
        <w:rPr>
          <w:rFonts w:ascii="Arial" w:eastAsia="Calibri" w:hAnsi="Arial" w:cs="Arial"/>
          <w:sz w:val="16"/>
          <w:szCs w:val="20"/>
          <w:lang w:val="en-US"/>
        </w:rPr>
        <w:t>c Model adjusted by age groups: individuals &lt;5 and ≥5 years of age.</w:t>
      </w:r>
    </w:p>
    <w:p w14:paraId="625D6155" w14:textId="21567726" w:rsidR="008A4076" w:rsidRPr="00142AFB" w:rsidRDefault="00CF32A2" w:rsidP="00CF32A2">
      <w:pPr>
        <w:spacing w:line="240" w:lineRule="auto"/>
        <w:rPr>
          <w:rFonts w:ascii="Arial" w:eastAsia="Calibri" w:hAnsi="Arial" w:cs="Arial"/>
          <w:sz w:val="20"/>
          <w:szCs w:val="20"/>
          <w:lang w:val="en-US"/>
        </w:rPr>
      </w:pPr>
      <w:r w:rsidRPr="00CF32A2">
        <w:rPr>
          <w:rFonts w:ascii="Arial" w:eastAsia="Calibri" w:hAnsi="Arial" w:cs="Arial"/>
          <w:sz w:val="16"/>
          <w:szCs w:val="20"/>
          <w:lang w:val="en-US"/>
        </w:rPr>
        <w:t>d Model adjusted by serotype and age groups.</w:t>
      </w:r>
    </w:p>
    <w:p w14:paraId="530DCCC3" w14:textId="77777777" w:rsidR="000F6EBC" w:rsidRDefault="000F6EBC">
      <w:pPr>
        <w:rPr>
          <w:rStyle w:val="Hyperlink"/>
          <w:rFonts w:ascii="Arial" w:hAnsi="Arial" w:cs="Arial"/>
          <w:b/>
          <w:sz w:val="24"/>
          <w:szCs w:val="24"/>
        </w:rPr>
      </w:pPr>
      <w:r>
        <w:rPr>
          <w:rStyle w:val="Hyperlink"/>
          <w:rFonts w:ascii="Arial" w:hAnsi="Arial" w:cs="Arial"/>
          <w:b/>
          <w:sz w:val="24"/>
          <w:szCs w:val="24"/>
        </w:rPr>
        <w:br w:type="page"/>
      </w:r>
    </w:p>
    <w:p w14:paraId="336BDD16" w14:textId="607DBECE" w:rsidR="008A4076" w:rsidRPr="00142AFB" w:rsidRDefault="008A4076" w:rsidP="008A4076">
      <w:pPr>
        <w:spacing w:line="240" w:lineRule="auto"/>
        <w:jc w:val="both"/>
        <w:rPr>
          <w:rFonts w:ascii="Arial" w:eastAsia="Calibri" w:hAnsi="Arial" w:cs="Arial"/>
          <w:sz w:val="24"/>
          <w:szCs w:val="24"/>
          <w:lang w:val="en-US"/>
        </w:rPr>
      </w:pPr>
      <w:r w:rsidRPr="002A4FB6">
        <w:rPr>
          <w:rStyle w:val="Hyperlink"/>
          <w:rFonts w:ascii="Arial" w:hAnsi="Arial" w:cs="Arial"/>
          <w:b/>
          <w:sz w:val="24"/>
          <w:szCs w:val="24"/>
        </w:rPr>
        <w:lastRenderedPageBreak/>
        <w:t xml:space="preserve">Supplementary Table </w:t>
      </w:r>
      <w:r w:rsidR="000F6EBC">
        <w:rPr>
          <w:rStyle w:val="Hyperlink"/>
          <w:rFonts w:ascii="Arial" w:hAnsi="Arial" w:cs="Arial"/>
          <w:b/>
          <w:sz w:val="24"/>
          <w:szCs w:val="24"/>
        </w:rPr>
        <w:t>4</w:t>
      </w:r>
      <w:r w:rsidRPr="00142AFB">
        <w:rPr>
          <w:rFonts w:ascii="Arial" w:eastAsia="Calibri" w:hAnsi="Arial" w:cs="Arial"/>
          <w:b/>
          <w:sz w:val="24"/>
          <w:szCs w:val="24"/>
          <w:lang w:val="en-US"/>
        </w:rPr>
        <w:t>.</w:t>
      </w:r>
      <w:r w:rsidRPr="00142AFB">
        <w:rPr>
          <w:rFonts w:ascii="Arial" w:eastAsia="Calibri" w:hAnsi="Arial" w:cs="Arial"/>
          <w:sz w:val="24"/>
          <w:szCs w:val="24"/>
          <w:lang w:val="en-US"/>
        </w:rPr>
        <w:t xml:space="preserve"> Percentage difference in rates of </w:t>
      </w:r>
      <w:r>
        <w:rPr>
          <w:rFonts w:ascii="Arial" w:eastAsia="Calibri" w:hAnsi="Arial" w:cs="Arial"/>
          <w:sz w:val="24"/>
          <w:szCs w:val="24"/>
          <w:lang w:val="en-US"/>
        </w:rPr>
        <w:t>non-meningitis</w:t>
      </w:r>
      <w:r w:rsidRPr="00142AFB">
        <w:rPr>
          <w:rFonts w:ascii="Arial" w:eastAsia="Calibri" w:hAnsi="Arial" w:cs="Arial"/>
          <w:sz w:val="24"/>
          <w:szCs w:val="24"/>
          <w:lang w:val="en-US"/>
        </w:rPr>
        <w:t xml:space="preserve"> invasive pneumococcal disease (</w:t>
      </w:r>
      <w:r>
        <w:rPr>
          <w:rFonts w:ascii="Arial" w:eastAsia="Calibri" w:hAnsi="Arial" w:cs="Arial"/>
          <w:sz w:val="24"/>
          <w:szCs w:val="24"/>
          <w:lang w:val="en-US"/>
        </w:rPr>
        <w:t>nmIPD</w:t>
      </w:r>
      <w:r w:rsidRPr="00142AFB">
        <w:rPr>
          <w:rFonts w:ascii="Arial" w:eastAsia="Calibri" w:hAnsi="Arial" w:cs="Arial"/>
          <w:sz w:val="24"/>
          <w:szCs w:val="24"/>
          <w:lang w:val="en-US"/>
        </w:rPr>
        <w:t xml:space="preserve">) and pneumococcal meningitis (PM) between 2005-2008 (pre-PCV introduction) and 2016 (post-PCV introduction) and percentage effect difference in rate changes between 2005-2008 and 2016 for PM compared to </w:t>
      </w:r>
      <w:r>
        <w:rPr>
          <w:rFonts w:ascii="Arial" w:eastAsia="Calibri" w:hAnsi="Arial" w:cs="Arial"/>
          <w:sz w:val="24"/>
          <w:szCs w:val="24"/>
          <w:lang w:val="en-US"/>
        </w:rPr>
        <w:t>nmIPD</w:t>
      </w:r>
      <w:r w:rsidRPr="00142AFB">
        <w:rPr>
          <w:rFonts w:ascii="Arial" w:eastAsia="Calibri" w:hAnsi="Arial" w:cs="Arial"/>
          <w:sz w:val="24"/>
          <w:szCs w:val="24"/>
          <w:lang w:val="en-US"/>
        </w:rPr>
        <w:t>, South Africa, 2005-2016</w:t>
      </w: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21"/>
        <w:gridCol w:w="1922"/>
        <w:gridCol w:w="1922"/>
      </w:tblGrid>
      <w:tr w:rsidR="008A4076" w:rsidRPr="00142AFB" w14:paraId="2CB4CCF3" w14:textId="77777777" w:rsidTr="008A4076">
        <w:tc>
          <w:tcPr>
            <w:tcW w:w="3261" w:type="dxa"/>
            <w:tcBorders>
              <w:top w:val="single" w:sz="4" w:space="0" w:color="auto"/>
              <w:bottom w:val="single" w:sz="4" w:space="0" w:color="auto"/>
            </w:tcBorders>
            <w:vAlign w:val="center"/>
          </w:tcPr>
          <w:p w14:paraId="4C0D5B59" w14:textId="77777777" w:rsidR="008A4076" w:rsidRPr="00142AFB" w:rsidRDefault="008A4076" w:rsidP="008A4076">
            <w:pPr>
              <w:jc w:val="center"/>
              <w:rPr>
                <w:rFonts w:ascii="Arial" w:eastAsia="Calibri" w:hAnsi="Arial" w:cs="Arial"/>
                <w:b/>
                <w:sz w:val="18"/>
                <w:szCs w:val="18"/>
              </w:rPr>
            </w:pPr>
            <w:r w:rsidRPr="00142AFB">
              <w:rPr>
                <w:rFonts w:ascii="Arial" w:eastAsia="Calibri" w:hAnsi="Arial" w:cs="Arial"/>
                <w:b/>
                <w:sz w:val="18"/>
                <w:szCs w:val="18"/>
              </w:rPr>
              <w:t>Serotype groups</w:t>
            </w:r>
          </w:p>
        </w:tc>
        <w:tc>
          <w:tcPr>
            <w:tcW w:w="1921" w:type="dxa"/>
            <w:tcBorders>
              <w:top w:val="single" w:sz="4" w:space="0" w:color="auto"/>
              <w:bottom w:val="single" w:sz="4" w:space="0" w:color="auto"/>
            </w:tcBorders>
            <w:vAlign w:val="center"/>
          </w:tcPr>
          <w:p w14:paraId="377654AD" w14:textId="77777777" w:rsidR="008A4076" w:rsidRPr="00142AFB" w:rsidRDefault="008A4076" w:rsidP="008A4076">
            <w:pPr>
              <w:jc w:val="center"/>
              <w:rPr>
                <w:rFonts w:ascii="Arial" w:eastAsia="Calibri" w:hAnsi="Arial" w:cs="Arial"/>
                <w:b/>
                <w:sz w:val="18"/>
                <w:szCs w:val="18"/>
              </w:rPr>
            </w:pPr>
            <w:r>
              <w:rPr>
                <w:rFonts w:ascii="Arial" w:eastAsia="Calibri" w:hAnsi="Arial" w:cs="Arial"/>
                <w:b/>
                <w:sz w:val="18"/>
                <w:szCs w:val="18"/>
              </w:rPr>
              <w:t>nmIPD</w:t>
            </w:r>
            <w:r w:rsidRPr="00142AFB">
              <w:rPr>
                <w:rFonts w:ascii="Arial" w:eastAsia="Calibri" w:hAnsi="Arial" w:cs="Arial"/>
                <w:b/>
                <w:sz w:val="18"/>
                <w:szCs w:val="18"/>
              </w:rPr>
              <w:t xml:space="preserve"> % difference</w:t>
            </w:r>
          </w:p>
          <w:p w14:paraId="519B478A" w14:textId="77777777" w:rsidR="008A4076" w:rsidRPr="00142AFB" w:rsidRDefault="008A4076" w:rsidP="008A4076">
            <w:pPr>
              <w:jc w:val="center"/>
              <w:rPr>
                <w:rFonts w:ascii="Arial" w:eastAsia="Calibri" w:hAnsi="Arial" w:cs="Arial"/>
                <w:b/>
                <w:sz w:val="18"/>
                <w:szCs w:val="18"/>
              </w:rPr>
            </w:pPr>
            <w:r w:rsidRPr="00142AFB">
              <w:rPr>
                <w:rFonts w:ascii="Arial" w:eastAsia="Calibri" w:hAnsi="Arial" w:cs="Arial"/>
                <w:b/>
                <w:sz w:val="18"/>
                <w:szCs w:val="18"/>
              </w:rPr>
              <w:t>(95% CI)</w:t>
            </w:r>
          </w:p>
        </w:tc>
        <w:tc>
          <w:tcPr>
            <w:tcW w:w="1922" w:type="dxa"/>
            <w:tcBorders>
              <w:top w:val="single" w:sz="4" w:space="0" w:color="auto"/>
              <w:bottom w:val="single" w:sz="4" w:space="0" w:color="auto"/>
            </w:tcBorders>
            <w:vAlign w:val="center"/>
          </w:tcPr>
          <w:p w14:paraId="4D14590A" w14:textId="77777777" w:rsidR="008A4076" w:rsidRPr="00142AFB" w:rsidRDefault="008A4076" w:rsidP="008A4076">
            <w:pPr>
              <w:jc w:val="center"/>
              <w:rPr>
                <w:rFonts w:ascii="Arial" w:eastAsia="Calibri" w:hAnsi="Arial" w:cs="Arial"/>
                <w:b/>
                <w:sz w:val="18"/>
                <w:szCs w:val="18"/>
              </w:rPr>
            </w:pPr>
            <w:r w:rsidRPr="00142AFB">
              <w:rPr>
                <w:rFonts w:ascii="Arial" w:eastAsia="Calibri" w:hAnsi="Arial" w:cs="Arial"/>
                <w:b/>
                <w:sz w:val="18"/>
                <w:szCs w:val="18"/>
              </w:rPr>
              <w:t>PM % difference</w:t>
            </w:r>
          </w:p>
          <w:p w14:paraId="20A8C1A8" w14:textId="77777777" w:rsidR="008A4076" w:rsidRPr="00142AFB" w:rsidRDefault="008A4076" w:rsidP="008A4076">
            <w:pPr>
              <w:jc w:val="center"/>
              <w:rPr>
                <w:rFonts w:ascii="Arial" w:eastAsia="Calibri" w:hAnsi="Arial" w:cs="Arial"/>
                <w:b/>
                <w:sz w:val="18"/>
                <w:szCs w:val="18"/>
              </w:rPr>
            </w:pPr>
            <w:r w:rsidRPr="00142AFB">
              <w:rPr>
                <w:rFonts w:ascii="Arial" w:eastAsia="Calibri" w:hAnsi="Arial" w:cs="Arial"/>
                <w:b/>
                <w:sz w:val="18"/>
                <w:szCs w:val="18"/>
              </w:rPr>
              <w:t>(95% CI)</w:t>
            </w:r>
          </w:p>
        </w:tc>
        <w:tc>
          <w:tcPr>
            <w:tcW w:w="1922" w:type="dxa"/>
            <w:tcBorders>
              <w:top w:val="single" w:sz="4" w:space="0" w:color="auto"/>
              <w:bottom w:val="single" w:sz="4" w:space="0" w:color="auto"/>
            </w:tcBorders>
            <w:vAlign w:val="center"/>
          </w:tcPr>
          <w:p w14:paraId="051A0886" w14:textId="77777777" w:rsidR="008A4076" w:rsidRPr="00142AFB" w:rsidRDefault="008A4076" w:rsidP="008A4076">
            <w:pPr>
              <w:jc w:val="center"/>
              <w:rPr>
                <w:rFonts w:ascii="Arial" w:eastAsia="Calibri" w:hAnsi="Arial" w:cs="Arial"/>
                <w:b/>
                <w:sz w:val="18"/>
                <w:szCs w:val="18"/>
              </w:rPr>
            </w:pPr>
            <w:r w:rsidRPr="00142AFB">
              <w:rPr>
                <w:rFonts w:ascii="Arial" w:eastAsia="Calibri" w:hAnsi="Arial" w:cs="Arial"/>
                <w:b/>
                <w:sz w:val="18"/>
                <w:szCs w:val="18"/>
              </w:rPr>
              <w:t>% effect difference</w:t>
            </w:r>
          </w:p>
          <w:p w14:paraId="52C5C2E3" w14:textId="76A13C79" w:rsidR="008A4076" w:rsidRPr="00142AFB" w:rsidRDefault="008A4076" w:rsidP="008A4076">
            <w:pPr>
              <w:jc w:val="center"/>
              <w:rPr>
                <w:rFonts w:ascii="Arial" w:eastAsia="Calibri" w:hAnsi="Arial" w:cs="Arial"/>
                <w:b/>
                <w:sz w:val="18"/>
                <w:szCs w:val="18"/>
              </w:rPr>
            </w:pPr>
            <w:r w:rsidRPr="00142AFB">
              <w:rPr>
                <w:rFonts w:ascii="Arial" w:eastAsia="Calibri" w:hAnsi="Arial" w:cs="Arial"/>
                <w:b/>
                <w:sz w:val="18"/>
                <w:szCs w:val="18"/>
              </w:rPr>
              <w:t xml:space="preserve">PM vs. </w:t>
            </w:r>
            <w:r>
              <w:rPr>
                <w:rFonts w:ascii="Arial" w:eastAsia="Calibri" w:hAnsi="Arial" w:cs="Arial"/>
                <w:b/>
                <w:sz w:val="18"/>
                <w:szCs w:val="18"/>
              </w:rPr>
              <w:t>nmIPD</w:t>
            </w:r>
            <w:r w:rsidR="006F2AA8" w:rsidRPr="006F2AA8">
              <w:rPr>
                <w:rFonts w:ascii="Arial" w:eastAsia="Calibri" w:hAnsi="Arial" w:cs="Arial"/>
                <w:b/>
                <w:sz w:val="18"/>
                <w:szCs w:val="18"/>
                <w:vertAlign w:val="superscript"/>
              </w:rPr>
              <w:t>a</w:t>
            </w:r>
          </w:p>
          <w:p w14:paraId="07D25FE0" w14:textId="77777777" w:rsidR="008A4076" w:rsidRPr="00142AFB" w:rsidRDefault="008A4076" w:rsidP="008A4076">
            <w:pPr>
              <w:jc w:val="center"/>
              <w:rPr>
                <w:rFonts w:ascii="Arial" w:eastAsia="Calibri" w:hAnsi="Arial" w:cs="Arial"/>
                <w:b/>
                <w:sz w:val="18"/>
                <w:szCs w:val="18"/>
              </w:rPr>
            </w:pPr>
            <w:r w:rsidRPr="00142AFB">
              <w:rPr>
                <w:rFonts w:ascii="Arial" w:eastAsia="Calibri" w:hAnsi="Arial" w:cs="Arial"/>
                <w:b/>
                <w:sz w:val="18"/>
                <w:szCs w:val="18"/>
              </w:rPr>
              <w:t>(p value)</w:t>
            </w:r>
          </w:p>
        </w:tc>
      </w:tr>
      <w:tr w:rsidR="006F2AA8" w:rsidRPr="00142AFB" w14:paraId="0FAB899B" w14:textId="77777777" w:rsidTr="008A4076">
        <w:tc>
          <w:tcPr>
            <w:tcW w:w="9026" w:type="dxa"/>
            <w:gridSpan w:val="4"/>
            <w:tcBorders>
              <w:top w:val="single" w:sz="4" w:space="0" w:color="auto"/>
              <w:bottom w:val="single" w:sz="4" w:space="0" w:color="auto"/>
            </w:tcBorders>
          </w:tcPr>
          <w:p w14:paraId="2F273F13" w14:textId="6A76A4AD" w:rsidR="006F2AA8" w:rsidRPr="00142AFB" w:rsidRDefault="006F2AA8" w:rsidP="006F2AA8">
            <w:pPr>
              <w:rPr>
                <w:rFonts w:ascii="Arial" w:eastAsia="Calibri" w:hAnsi="Arial" w:cs="Arial"/>
                <w:b/>
                <w:sz w:val="18"/>
                <w:szCs w:val="18"/>
              </w:rPr>
            </w:pPr>
            <w:r w:rsidRPr="0058389A">
              <w:rPr>
                <w:rFonts w:ascii="Arial" w:eastAsia="Calibri" w:hAnsi="Arial" w:cs="Arial"/>
                <w:b/>
                <w:sz w:val="18"/>
                <w:szCs w:val="18"/>
              </w:rPr>
              <w:t>Children aged &lt;5 years</w:t>
            </w:r>
          </w:p>
        </w:tc>
      </w:tr>
      <w:tr w:rsidR="006F2AA8" w:rsidRPr="00142AFB" w14:paraId="15A086E1" w14:textId="77777777" w:rsidTr="008A4076">
        <w:tc>
          <w:tcPr>
            <w:tcW w:w="3261" w:type="dxa"/>
            <w:tcBorders>
              <w:top w:val="single" w:sz="4" w:space="0" w:color="auto"/>
            </w:tcBorders>
            <w:shd w:val="clear" w:color="auto" w:fill="F2F2F2"/>
          </w:tcPr>
          <w:p w14:paraId="42CAC0A5" w14:textId="46544728" w:rsidR="006F2AA8" w:rsidRPr="00142AFB" w:rsidRDefault="006F2AA8" w:rsidP="006F2AA8">
            <w:pPr>
              <w:rPr>
                <w:rFonts w:ascii="Arial" w:eastAsia="Calibri" w:hAnsi="Arial" w:cs="Arial"/>
                <w:sz w:val="18"/>
                <w:szCs w:val="18"/>
              </w:rPr>
            </w:pPr>
            <w:r w:rsidRPr="0058389A">
              <w:rPr>
                <w:rFonts w:ascii="Arial" w:eastAsia="Calibri" w:hAnsi="Arial" w:cs="Arial"/>
                <w:sz w:val="18"/>
                <w:szCs w:val="18"/>
              </w:rPr>
              <w:t xml:space="preserve">    PCV7 serotypes</w:t>
            </w:r>
          </w:p>
        </w:tc>
        <w:tc>
          <w:tcPr>
            <w:tcW w:w="1921" w:type="dxa"/>
            <w:tcBorders>
              <w:top w:val="single" w:sz="4" w:space="0" w:color="auto"/>
            </w:tcBorders>
            <w:shd w:val="clear" w:color="auto" w:fill="F2F2F2"/>
            <w:vAlign w:val="center"/>
          </w:tcPr>
          <w:p w14:paraId="774D62C3" w14:textId="77777777" w:rsidR="006F2AA8" w:rsidRPr="00142AFB" w:rsidRDefault="006F2AA8" w:rsidP="006F2AA8">
            <w:pPr>
              <w:jc w:val="center"/>
              <w:rPr>
                <w:rFonts w:ascii="Arial" w:eastAsia="Times New Roman" w:hAnsi="Arial" w:cs="Arial"/>
                <w:b/>
                <w:bCs/>
                <w:color w:val="000000"/>
                <w:sz w:val="18"/>
                <w:szCs w:val="18"/>
                <w:lang w:eastAsia="en-GB"/>
              </w:rPr>
            </w:pPr>
            <w:r w:rsidRPr="00142AFB">
              <w:rPr>
                <w:rFonts w:ascii="Arial" w:eastAsia="Times New Roman" w:hAnsi="Arial" w:cs="Arial"/>
                <w:b/>
                <w:bCs/>
                <w:color w:val="000000"/>
                <w:sz w:val="18"/>
                <w:szCs w:val="18"/>
                <w:lang w:eastAsia="en-GB"/>
              </w:rPr>
              <w:t>-94.9 (-96.4 to -92.8)</w:t>
            </w:r>
          </w:p>
        </w:tc>
        <w:tc>
          <w:tcPr>
            <w:tcW w:w="1922" w:type="dxa"/>
            <w:tcBorders>
              <w:top w:val="single" w:sz="4" w:space="0" w:color="auto"/>
            </w:tcBorders>
            <w:shd w:val="clear" w:color="auto" w:fill="F2F2F2"/>
            <w:vAlign w:val="center"/>
          </w:tcPr>
          <w:p w14:paraId="6ED2D776" w14:textId="77777777" w:rsidR="006F2AA8" w:rsidRPr="00142AFB" w:rsidRDefault="006F2AA8" w:rsidP="006F2AA8">
            <w:pPr>
              <w:jc w:val="center"/>
              <w:rPr>
                <w:rFonts w:ascii="Arial" w:eastAsia="Times New Roman" w:hAnsi="Arial" w:cs="Arial"/>
                <w:b/>
                <w:bCs/>
                <w:color w:val="000000"/>
                <w:sz w:val="18"/>
                <w:szCs w:val="18"/>
                <w:lang w:eastAsia="en-GB"/>
              </w:rPr>
            </w:pPr>
            <w:r w:rsidRPr="00142AFB">
              <w:rPr>
                <w:rFonts w:ascii="Arial" w:eastAsia="Times New Roman" w:hAnsi="Arial" w:cs="Arial"/>
                <w:b/>
                <w:bCs/>
                <w:color w:val="000000"/>
                <w:sz w:val="18"/>
                <w:szCs w:val="18"/>
                <w:lang w:eastAsia="en-GB"/>
              </w:rPr>
              <w:t>-96.6 (-98.1 to -93.9)</w:t>
            </w:r>
          </w:p>
        </w:tc>
        <w:tc>
          <w:tcPr>
            <w:tcW w:w="1922" w:type="dxa"/>
            <w:tcBorders>
              <w:top w:val="single" w:sz="4" w:space="0" w:color="auto"/>
            </w:tcBorders>
            <w:shd w:val="clear" w:color="auto" w:fill="F2F2F2"/>
            <w:vAlign w:val="center"/>
          </w:tcPr>
          <w:p w14:paraId="29A0B730" w14:textId="5BE265DD" w:rsidR="006F2AA8" w:rsidRPr="00142AFB" w:rsidRDefault="00EF0307" w:rsidP="006F2AA8">
            <w:pPr>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-32.8 (0.24</w:t>
            </w:r>
            <w:r w:rsidR="006F2AA8" w:rsidRPr="00142AFB">
              <w:rPr>
                <w:rFonts w:ascii="Arial" w:eastAsia="Times New Roman" w:hAnsi="Arial" w:cs="Arial"/>
                <w:color w:val="000000"/>
                <w:sz w:val="18"/>
                <w:szCs w:val="18"/>
                <w:lang w:eastAsia="en-GB"/>
              </w:rPr>
              <w:t>)</w:t>
            </w:r>
          </w:p>
        </w:tc>
      </w:tr>
      <w:tr w:rsidR="006F2AA8" w:rsidRPr="00142AFB" w14:paraId="54087FFC" w14:textId="77777777" w:rsidTr="008A4076">
        <w:tc>
          <w:tcPr>
            <w:tcW w:w="3261" w:type="dxa"/>
          </w:tcPr>
          <w:p w14:paraId="4A63226E" w14:textId="28A56DA6" w:rsidR="006F2AA8" w:rsidRPr="00142AFB" w:rsidRDefault="006F2AA8" w:rsidP="006F2AA8">
            <w:pPr>
              <w:rPr>
                <w:rFonts w:ascii="Arial" w:eastAsia="Calibri" w:hAnsi="Arial" w:cs="Arial"/>
                <w:sz w:val="18"/>
                <w:szCs w:val="18"/>
              </w:rPr>
            </w:pPr>
            <w:r w:rsidRPr="0058389A">
              <w:rPr>
                <w:rFonts w:ascii="Arial" w:eastAsia="Calibri" w:hAnsi="Arial" w:cs="Arial"/>
                <w:sz w:val="18"/>
                <w:szCs w:val="18"/>
              </w:rPr>
              <w:t xml:space="preserve">    Additional PCV13 serotypes</w:t>
            </w:r>
          </w:p>
        </w:tc>
        <w:tc>
          <w:tcPr>
            <w:tcW w:w="1921" w:type="dxa"/>
            <w:vAlign w:val="center"/>
          </w:tcPr>
          <w:p w14:paraId="582CB4BE" w14:textId="77777777" w:rsidR="006F2AA8" w:rsidRPr="00142AFB" w:rsidRDefault="006F2AA8" w:rsidP="006F2AA8">
            <w:pPr>
              <w:jc w:val="center"/>
              <w:rPr>
                <w:rFonts w:ascii="Arial" w:eastAsia="Times New Roman" w:hAnsi="Arial" w:cs="Arial"/>
                <w:b/>
                <w:bCs/>
                <w:color w:val="000000"/>
                <w:sz w:val="18"/>
                <w:szCs w:val="18"/>
                <w:lang w:eastAsia="en-GB"/>
              </w:rPr>
            </w:pPr>
            <w:r w:rsidRPr="00142AFB">
              <w:rPr>
                <w:rFonts w:ascii="Arial" w:eastAsia="Times New Roman" w:hAnsi="Arial" w:cs="Arial"/>
                <w:b/>
                <w:bCs/>
                <w:color w:val="000000"/>
                <w:sz w:val="18"/>
                <w:szCs w:val="18"/>
                <w:lang w:eastAsia="en-GB"/>
              </w:rPr>
              <w:t>-91.4 (-94.1 to -87.6)</w:t>
            </w:r>
          </w:p>
        </w:tc>
        <w:tc>
          <w:tcPr>
            <w:tcW w:w="1922" w:type="dxa"/>
            <w:vAlign w:val="center"/>
          </w:tcPr>
          <w:p w14:paraId="461ED49C" w14:textId="77777777" w:rsidR="006F2AA8" w:rsidRPr="00142AFB" w:rsidRDefault="006F2AA8" w:rsidP="006F2AA8">
            <w:pPr>
              <w:jc w:val="center"/>
              <w:rPr>
                <w:rFonts w:ascii="Arial" w:eastAsia="Times New Roman" w:hAnsi="Arial" w:cs="Arial"/>
                <w:b/>
                <w:bCs/>
                <w:color w:val="000000"/>
                <w:sz w:val="18"/>
                <w:szCs w:val="18"/>
                <w:lang w:eastAsia="en-GB"/>
              </w:rPr>
            </w:pPr>
            <w:r w:rsidRPr="00142AFB">
              <w:rPr>
                <w:rFonts w:ascii="Arial" w:eastAsia="Times New Roman" w:hAnsi="Arial" w:cs="Arial"/>
                <w:b/>
                <w:bCs/>
                <w:color w:val="000000"/>
                <w:sz w:val="18"/>
                <w:szCs w:val="18"/>
                <w:lang w:eastAsia="en-GB"/>
              </w:rPr>
              <w:t>-94.0 (-97.1 to -87.7)</w:t>
            </w:r>
          </w:p>
        </w:tc>
        <w:tc>
          <w:tcPr>
            <w:tcW w:w="1922" w:type="dxa"/>
            <w:vAlign w:val="center"/>
          </w:tcPr>
          <w:p w14:paraId="27CF3A9E" w14:textId="33E1CB82" w:rsidR="006F2AA8" w:rsidRPr="00142AFB" w:rsidRDefault="00EF0307" w:rsidP="006F2AA8">
            <w:pPr>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-30.5 (0.38</w:t>
            </w:r>
            <w:r w:rsidR="006F2AA8" w:rsidRPr="00142AFB">
              <w:rPr>
                <w:rFonts w:ascii="Arial" w:eastAsia="Times New Roman" w:hAnsi="Arial" w:cs="Arial"/>
                <w:color w:val="000000"/>
                <w:sz w:val="18"/>
                <w:szCs w:val="18"/>
                <w:lang w:eastAsia="en-GB"/>
              </w:rPr>
              <w:t>)</w:t>
            </w:r>
          </w:p>
        </w:tc>
      </w:tr>
      <w:tr w:rsidR="006F2AA8" w:rsidRPr="00142AFB" w14:paraId="4FB28B02" w14:textId="77777777" w:rsidTr="008A4076">
        <w:tc>
          <w:tcPr>
            <w:tcW w:w="3261" w:type="dxa"/>
            <w:shd w:val="clear" w:color="auto" w:fill="F2F2F2"/>
          </w:tcPr>
          <w:p w14:paraId="6522D66A" w14:textId="6C82A95B" w:rsidR="006F2AA8" w:rsidRPr="00142AFB" w:rsidRDefault="006F2AA8" w:rsidP="006F2AA8">
            <w:pPr>
              <w:rPr>
                <w:rFonts w:ascii="Arial" w:eastAsia="Calibri" w:hAnsi="Arial" w:cs="Arial"/>
                <w:sz w:val="18"/>
                <w:szCs w:val="18"/>
              </w:rPr>
            </w:pPr>
            <w:r w:rsidRPr="0058389A">
              <w:rPr>
                <w:rFonts w:ascii="Arial" w:eastAsia="Calibri" w:hAnsi="Arial" w:cs="Arial"/>
                <w:sz w:val="18"/>
                <w:szCs w:val="18"/>
              </w:rPr>
              <w:t xml:space="preserve">    Non-PCV13 serotypes</w:t>
            </w:r>
          </w:p>
        </w:tc>
        <w:tc>
          <w:tcPr>
            <w:tcW w:w="1921" w:type="dxa"/>
            <w:shd w:val="clear" w:color="auto" w:fill="F2F2F2"/>
            <w:vAlign w:val="center"/>
          </w:tcPr>
          <w:p w14:paraId="0488819E" w14:textId="77777777" w:rsidR="006F2AA8" w:rsidRPr="00142AFB" w:rsidRDefault="006F2AA8" w:rsidP="006F2AA8">
            <w:pPr>
              <w:jc w:val="center"/>
              <w:rPr>
                <w:rFonts w:ascii="Arial" w:eastAsia="Times New Roman" w:hAnsi="Arial" w:cs="Arial"/>
                <w:b/>
                <w:bCs/>
                <w:color w:val="000000"/>
                <w:sz w:val="18"/>
                <w:szCs w:val="18"/>
                <w:lang w:eastAsia="en-GB"/>
              </w:rPr>
            </w:pPr>
            <w:r w:rsidRPr="00142AFB">
              <w:rPr>
                <w:rFonts w:ascii="Arial" w:eastAsia="Times New Roman" w:hAnsi="Arial" w:cs="Arial"/>
                <w:b/>
                <w:bCs/>
                <w:color w:val="000000"/>
                <w:sz w:val="18"/>
                <w:szCs w:val="18"/>
                <w:lang w:eastAsia="en-GB"/>
              </w:rPr>
              <w:t>26.8 (8.1 to 48.6)</w:t>
            </w:r>
          </w:p>
        </w:tc>
        <w:tc>
          <w:tcPr>
            <w:tcW w:w="1922" w:type="dxa"/>
            <w:shd w:val="clear" w:color="auto" w:fill="F2F2F2"/>
            <w:vAlign w:val="center"/>
          </w:tcPr>
          <w:p w14:paraId="03E14D77" w14:textId="77777777" w:rsidR="006F2AA8" w:rsidRPr="00142AFB" w:rsidRDefault="006F2AA8" w:rsidP="006F2AA8">
            <w:pPr>
              <w:jc w:val="center"/>
              <w:rPr>
                <w:rFonts w:ascii="Arial" w:eastAsia="Times New Roman" w:hAnsi="Arial" w:cs="Arial"/>
                <w:b/>
                <w:bCs/>
                <w:color w:val="000000"/>
                <w:sz w:val="18"/>
                <w:szCs w:val="18"/>
                <w:lang w:eastAsia="en-GB"/>
              </w:rPr>
            </w:pPr>
            <w:r w:rsidRPr="00142AFB">
              <w:rPr>
                <w:rFonts w:ascii="Arial" w:eastAsia="Times New Roman" w:hAnsi="Arial" w:cs="Arial"/>
                <w:b/>
                <w:bCs/>
                <w:color w:val="000000"/>
                <w:sz w:val="18"/>
                <w:szCs w:val="18"/>
                <w:lang w:eastAsia="en-GB"/>
              </w:rPr>
              <w:t>33.7 (8.8 to 64.4)</w:t>
            </w:r>
          </w:p>
        </w:tc>
        <w:tc>
          <w:tcPr>
            <w:tcW w:w="1922" w:type="dxa"/>
            <w:shd w:val="clear" w:color="auto" w:fill="F2F2F2"/>
            <w:vAlign w:val="center"/>
          </w:tcPr>
          <w:p w14:paraId="75657125" w14:textId="77EEA9AB" w:rsidR="006F2AA8" w:rsidRPr="00142AFB" w:rsidRDefault="00EF0307" w:rsidP="006F2AA8">
            <w:pPr>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5.5 (0.69</w:t>
            </w:r>
            <w:r w:rsidR="006F2AA8" w:rsidRPr="00142AFB">
              <w:rPr>
                <w:rFonts w:ascii="Arial" w:eastAsia="Times New Roman" w:hAnsi="Arial" w:cs="Arial"/>
                <w:color w:val="000000"/>
                <w:sz w:val="18"/>
                <w:szCs w:val="18"/>
                <w:lang w:eastAsia="en-GB"/>
              </w:rPr>
              <w:t>)</w:t>
            </w:r>
          </w:p>
        </w:tc>
      </w:tr>
      <w:tr w:rsidR="006F2AA8" w:rsidRPr="00142AFB" w14:paraId="00E29808" w14:textId="77777777" w:rsidTr="008A4076">
        <w:tc>
          <w:tcPr>
            <w:tcW w:w="3261" w:type="dxa"/>
            <w:tcBorders>
              <w:bottom w:val="single" w:sz="4" w:space="0" w:color="auto"/>
            </w:tcBorders>
          </w:tcPr>
          <w:p w14:paraId="0F8B9B3B" w14:textId="27EA48BF" w:rsidR="006F2AA8" w:rsidRPr="00142AFB" w:rsidRDefault="006F2AA8" w:rsidP="006F2AA8">
            <w:pPr>
              <w:rPr>
                <w:rFonts w:ascii="Arial" w:eastAsia="Calibri" w:hAnsi="Arial" w:cs="Arial"/>
                <w:sz w:val="18"/>
                <w:szCs w:val="18"/>
              </w:rPr>
            </w:pPr>
            <w:r w:rsidRPr="0058389A">
              <w:rPr>
                <w:rFonts w:ascii="Arial" w:eastAsia="Calibri" w:hAnsi="Arial" w:cs="Arial"/>
                <w:sz w:val="18"/>
                <w:szCs w:val="18"/>
              </w:rPr>
              <w:t xml:space="preserve">    All serotypes</w:t>
            </w:r>
            <w:r>
              <w:rPr>
                <w:rFonts w:ascii="Arial" w:eastAsia="Calibri" w:hAnsi="Arial" w:cs="Arial"/>
                <w:sz w:val="18"/>
                <w:szCs w:val="18"/>
                <w:vertAlign w:val="superscript"/>
              </w:rPr>
              <w:t>b</w:t>
            </w:r>
          </w:p>
        </w:tc>
        <w:tc>
          <w:tcPr>
            <w:tcW w:w="1921" w:type="dxa"/>
            <w:tcBorders>
              <w:bottom w:val="single" w:sz="4" w:space="0" w:color="auto"/>
            </w:tcBorders>
            <w:vAlign w:val="center"/>
          </w:tcPr>
          <w:p w14:paraId="79CECF31" w14:textId="77777777" w:rsidR="006F2AA8" w:rsidRPr="00142AFB" w:rsidRDefault="006F2AA8" w:rsidP="006F2AA8">
            <w:pPr>
              <w:jc w:val="center"/>
              <w:rPr>
                <w:rFonts w:ascii="Arial" w:eastAsia="Times New Roman" w:hAnsi="Arial" w:cs="Arial"/>
                <w:b/>
                <w:bCs/>
                <w:color w:val="000000"/>
                <w:sz w:val="18"/>
                <w:szCs w:val="18"/>
                <w:lang w:eastAsia="en-GB"/>
              </w:rPr>
            </w:pPr>
            <w:r w:rsidRPr="00142AFB">
              <w:rPr>
                <w:rFonts w:ascii="Arial" w:eastAsia="Times New Roman" w:hAnsi="Arial" w:cs="Arial"/>
                <w:b/>
                <w:bCs/>
                <w:color w:val="000000"/>
                <w:sz w:val="18"/>
                <w:szCs w:val="18"/>
                <w:lang w:eastAsia="en-GB"/>
              </w:rPr>
              <w:t>-76.7 (-79.4 to -73.6)</w:t>
            </w:r>
          </w:p>
        </w:tc>
        <w:tc>
          <w:tcPr>
            <w:tcW w:w="1922" w:type="dxa"/>
            <w:tcBorders>
              <w:bottom w:val="single" w:sz="4" w:space="0" w:color="auto"/>
            </w:tcBorders>
            <w:vAlign w:val="center"/>
          </w:tcPr>
          <w:p w14:paraId="0DEF83D0" w14:textId="77777777" w:rsidR="006F2AA8" w:rsidRPr="00142AFB" w:rsidRDefault="006F2AA8" w:rsidP="006F2AA8">
            <w:pPr>
              <w:jc w:val="center"/>
              <w:rPr>
                <w:rFonts w:ascii="Arial" w:eastAsia="Times New Roman" w:hAnsi="Arial" w:cs="Arial"/>
                <w:b/>
                <w:bCs/>
                <w:color w:val="000000"/>
                <w:sz w:val="18"/>
                <w:szCs w:val="18"/>
                <w:lang w:eastAsia="en-GB"/>
              </w:rPr>
            </w:pPr>
            <w:r w:rsidRPr="00142AFB">
              <w:rPr>
                <w:rFonts w:ascii="Arial" w:eastAsia="Times New Roman" w:hAnsi="Arial" w:cs="Arial"/>
                <w:b/>
                <w:bCs/>
                <w:color w:val="000000"/>
                <w:sz w:val="18"/>
                <w:szCs w:val="18"/>
                <w:lang w:eastAsia="en-GB"/>
              </w:rPr>
              <w:t>-74.7 (-78.6 to -70.0)</w:t>
            </w:r>
          </w:p>
        </w:tc>
        <w:tc>
          <w:tcPr>
            <w:tcW w:w="1922" w:type="dxa"/>
            <w:tcBorders>
              <w:bottom w:val="single" w:sz="4" w:space="0" w:color="auto"/>
            </w:tcBorders>
            <w:vAlign w:val="center"/>
          </w:tcPr>
          <w:p w14:paraId="38A08387" w14:textId="1221B231" w:rsidR="006F2AA8" w:rsidRPr="00142AFB" w:rsidRDefault="00EF0307" w:rsidP="006F2AA8">
            <w:pPr>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8.5 (0.44</w:t>
            </w:r>
            <w:r w:rsidR="006F2AA8" w:rsidRPr="00142AFB">
              <w:rPr>
                <w:rFonts w:ascii="Arial" w:eastAsia="Times New Roman" w:hAnsi="Arial" w:cs="Arial"/>
                <w:color w:val="000000"/>
                <w:sz w:val="18"/>
                <w:szCs w:val="18"/>
                <w:lang w:eastAsia="en-GB"/>
              </w:rPr>
              <w:t>)</w:t>
            </w:r>
          </w:p>
        </w:tc>
      </w:tr>
      <w:tr w:rsidR="006F2AA8" w:rsidRPr="00142AFB" w14:paraId="616DBE4B" w14:textId="77777777" w:rsidTr="008A4076">
        <w:tc>
          <w:tcPr>
            <w:tcW w:w="9026" w:type="dxa"/>
            <w:gridSpan w:val="4"/>
            <w:tcBorders>
              <w:top w:val="single" w:sz="4" w:space="0" w:color="auto"/>
              <w:bottom w:val="single" w:sz="4" w:space="0" w:color="auto"/>
            </w:tcBorders>
          </w:tcPr>
          <w:p w14:paraId="0FEF110C" w14:textId="21B0BF5F" w:rsidR="006F2AA8" w:rsidRPr="00142AFB" w:rsidRDefault="006F2AA8" w:rsidP="006F2AA8">
            <w:pPr>
              <w:rPr>
                <w:rFonts w:ascii="Arial" w:eastAsia="Calibri" w:hAnsi="Arial" w:cs="Arial"/>
                <w:b/>
                <w:sz w:val="18"/>
                <w:szCs w:val="18"/>
              </w:rPr>
            </w:pPr>
            <w:r w:rsidRPr="0058389A">
              <w:rPr>
                <w:rFonts w:ascii="Arial" w:eastAsia="Calibri" w:hAnsi="Arial" w:cs="Arial"/>
                <w:b/>
                <w:sz w:val="18"/>
                <w:szCs w:val="18"/>
              </w:rPr>
              <w:t>Individuals aged ≥5 years</w:t>
            </w:r>
          </w:p>
        </w:tc>
      </w:tr>
      <w:tr w:rsidR="006F2AA8" w:rsidRPr="00142AFB" w14:paraId="0A704F91" w14:textId="77777777" w:rsidTr="008A4076">
        <w:tc>
          <w:tcPr>
            <w:tcW w:w="3261" w:type="dxa"/>
            <w:tcBorders>
              <w:top w:val="single" w:sz="4" w:space="0" w:color="auto"/>
            </w:tcBorders>
            <w:shd w:val="clear" w:color="auto" w:fill="F2F2F2"/>
          </w:tcPr>
          <w:p w14:paraId="4A2A2CC8" w14:textId="6A128DF8" w:rsidR="006F2AA8" w:rsidRPr="00142AFB" w:rsidRDefault="006F2AA8" w:rsidP="006F2AA8">
            <w:pPr>
              <w:rPr>
                <w:rFonts w:ascii="Arial" w:eastAsia="Calibri" w:hAnsi="Arial" w:cs="Arial"/>
                <w:sz w:val="18"/>
                <w:szCs w:val="18"/>
              </w:rPr>
            </w:pPr>
            <w:r w:rsidRPr="0058389A">
              <w:rPr>
                <w:rFonts w:ascii="Arial" w:eastAsia="Calibri" w:hAnsi="Arial" w:cs="Arial"/>
                <w:sz w:val="18"/>
                <w:szCs w:val="18"/>
              </w:rPr>
              <w:t xml:space="preserve">    PCV7 serotypes</w:t>
            </w:r>
          </w:p>
        </w:tc>
        <w:tc>
          <w:tcPr>
            <w:tcW w:w="1921" w:type="dxa"/>
            <w:tcBorders>
              <w:top w:val="single" w:sz="4" w:space="0" w:color="auto"/>
            </w:tcBorders>
            <w:shd w:val="clear" w:color="auto" w:fill="F2F2F2"/>
            <w:vAlign w:val="center"/>
          </w:tcPr>
          <w:p w14:paraId="4F04DB9B" w14:textId="77777777" w:rsidR="006F2AA8" w:rsidRPr="00142AFB" w:rsidRDefault="006F2AA8" w:rsidP="006F2AA8">
            <w:pPr>
              <w:jc w:val="center"/>
              <w:rPr>
                <w:rFonts w:ascii="Arial" w:eastAsia="Times New Roman" w:hAnsi="Arial" w:cs="Arial"/>
                <w:b/>
                <w:bCs/>
                <w:color w:val="000000"/>
                <w:sz w:val="18"/>
                <w:szCs w:val="18"/>
                <w:lang w:eastAsia="en-GB"/>
              </w:rPr>
            </w:pPr>
            <w:r w:rsidRPr="00142AFB">
              <w:rPr>
                <w:rFonts w:ascii="Arial" w:eastAsia="Times New Roman" w:hAnsi="Arial" w:cs="Arial"/>
                <w:b/>
                <w:bCs/>
                <w:color w:val="000000"/>
                <w:sz w:val="18"/>
                <w:szCs w:val="18"/>
                <w:lang w:eastAsia="en-GB"/>
              </w:rPr>
              <w:t>-79.4 (-82.4 to -75.8)</w:t>
            </w:r>
          </w:p>
        </w:tc>
        <w:tc>
          <w:tcPr>
            <w:tcW w:w="1922" w:type="dxa"/>
            <w:tcBorders>
              <w:top w:val="single" w:sz="4" w:space="0" w:color="auto"/>
            </w:tcBorders>
            <w:shd w:val="clear" w:color="auto" w:fill="F2F2F2"/>
            <w:vAlign w:val="center"/>
          </w:tcPr>
          <w:p w14:paraId="0869B92E" w14:textId="77777777" w:rsidR="006F2AA8" w:rsidRPr="00142AFB" w:rsidRDefault="006F2AA8" w:rsidP="006F2AA8">
            <w:pPr>
              <w:jc w:val="center"/>
              <w:rPr>
                <w:rFonts w:ascii="Arial" w:eastAsia="Times New Roman" w:hAnsi="Arial" w:cs="Arial"/>
                <w:b/>
                <w:bCs/>
                <w:color w:val="000000"/>
                <w:sz w:val="18"/>
                <w:szCs w:val="18"/>
                <w:lang w:eastAsia="en-GB"/>
              </w:rPr>
            </w:pPr>
            <w:r w:rsidRPr="00142AFB">
              <w:rPr>
                <w:rFonts w:ascii="Arial" w:eastAsia="Times New Roman" w:hAnsi="Arial" w:cs="Arial"/>
                <w:b/>
                <w:bCs/>
                <w:color w:val="000000"/>
                <w:sz w:val="18"/>
                <w:szCs w:val="18"/>
                <w:lang w:eastAsia="en-GB"/>
              </w:rPr>
              <w:t>-79.5 (-83.4 to -74.8)</w:t>
            </w:r>
          </w:p>
        </w:tc>
        <w:tc>
          <w:tcPr>
            <w:tcW w:w="1922" w:type="dxa"/>
            <w:tcBorders>
              <w:top w:val="single" w:sz="4" w:space="0" w:color="auto"/>
            </w:tcBorders>
            <w:shd w:val="clear" w:color="auto" w:fill="F2F2F2"/>
            <w:vAlign w:val="center"/>
          </w:tcPr>
          <w:p w14:paraId="5AF1D474" w14:textId="29EA1685" w:rsidR="006F2AA8" w:rsidRPr="00142AFB" w:rsidRDefault="00EF0307" w:rsidP="006F2AA8">
            <w:pPr>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-0.8 (0.95</w:t>
            </w:r>
            <w:r w:rsidR="006F2AA8" w:rsidRPr="00142AFB">
              <w:rPr>
                <w:rFonts w:ascii="Arial" w:eastAsia="Times New Roman" w:hAnsi="Arial" w:cs="Arial"/>
                <w:color w:val="000000"/>
                <w:sz w:val="18"/>
                <w:szCs w:val="18"/>
                <w:lang w:eastAsia="en-GB"/>
              </w:rPr>
              <w:t>)</w:t>
            </w:r>
          </w:p>
        </w:tc>
      </w:tr>
      <w:tr w:rsidR="006F2AA8" w:rsidRPr="00142AFB" w14:paraId="00F3E0EB" w14:textId="77777777" w:rsidTr="008A4076">
        <w:tc>
          <w:tcPr>
            <w:tcW w:w="3261" w:type="dxa"/>
          </w:tcPr>
          <w:p w14:paraId="11A936F5" w14:textId="1B0C39BC" w:rsidR="006F2AA8" w:rsidRPr="00142AFB" w:rsidRDefault="006F2AA8" w:rsidP="006F2AA8">
            <w:pPr>
              <w:rPr>
                <w:rFonts w:ascii="Arial" w:eastAsia="Calibri" w:hAnsi="Arial" w:cs="Arial"/>
                <w:sz w:val="18"/>
                <w:szCs w:val="18"/>
              </w:rPr>
            </w:pPr>
            <w:r w:rsidRPr="0058389A">
              <w:rPr>
                <w:rFonts w:ascii="Arial" w:eastAsia="Calibri" w:hAnsi="Arial" w:cs="Arial"/>
                <w:sz w:val="18"/>
                <w:szCs w:val="18"/>
              </w:rPr>
              <w:t xml:space="preserve">    Additional PCV13 serotypes</w:t>
            </w:r>
          </w:p>
        </w:tc>
        <w:tc>
          <w:tcPr>
            <w:tcW w:w="1921" w:type="dxa"/>
            <w:vAlign w:val="center"/>
          </w:tcPr>
          <w:p w14:paraId="23AE2135" w14:textId="77777777" w:rsidR="006F2AA8" w:rsidRPr="00142AFB" w:rsidRDefault="006F2AA8" w:rsidP="006F2AA8">
            <w:pPr>
              <w:jc w:val="center"/>
              <w:rPr>
                <w:rFonts w:ascii="Arial" w:eastAsia="Times New Roman" w:hAnsi="Arial" w:cs="Arial"/>
                <w:b/>
                <w:bCs/>
                <w:color w:val="000000"/>
                <w:sz w:val="18"/>
                <w:szCs w:val="18"/>
                <w:lang w:eastAsia="en-GB"/>
              </w:rPr>
            </w:pPr>
            <w:r w:rsidRPr="00142AFB">
              <w:rPr>
                <w:rFonts w:ascii="Arial" w:eastAsia="Times New Roman" w:hAnsi="Arial" w:cs="Arial"/>
                <w:b/>
                <w:bCs/>
                <w:color w:val="000000"/>
                <w:sz w:val="18"/>
                <w:szCs w:val="18"/>
                <w:lang w:eastAsia="en-GB"/>
              </w:rPr>
              <w:t>-66.8 (-70.4 to -62.7)</w:t>
            </w:r>
          </w:p>
        </w:tc>
        <w:tc>
          <w:tcPr>
            <w:tcW w:w="1922" w:type="dxa"/>
            <w:vAlign w:val="center"/>
          </w:tcPr>
          <w:p w14:paraId="6A3CBDAD" w14:textId="77777777" w:rsidR="006F2AA8" w:rsidRPr="00142AFB" w:rsidRDefault="006F2AA8" w:rsidP="006F2AA8">
            <w:pPr>
              <w:jc w:val="center"/>
              <w:rPr>
                <w:rFonts w:ascii="Arial" w:eastAsia="Times New Roman" w:hAnsi="Arial" w:cs="Arial"/>
                <w:b/>
                <w:bCs/>
                <w:color w:val="000000"/>
                <w:sz w:val="18"/>
                <w:szCs w:val="18"/>
                <w:lang w:eastAsia="en-GB"/>
              </w:rPr>
            </w:pPr>
            <w:r w:rsidRPr="00142AFB">
              <w:rPr>
                <w:rFonts w:ascii="Arial" w:eastAsia="Times New Roman" w:hAnsi="Arial" w:cs="Arial"/>
                <w:b/>
                <w:bCs/>
                <w:color w:val="000000"/>
                <w:sz w:val="18"/>
                <w:szCs w:val="18"/>
                <w:lang w:eastAsia="en-GB"/>
              </w:rPr>
              <w:t>-78.4 (-82.6 to -73.2)</w:t>
            </w:r>
          </w:p>
        </w:tc>
        <w:tc>
          <w:tcPr>
            <w:tcW w:w="1922" w:type="dxa"/>
            <w:vAlign w:val="center"/>
          </w:tcPr>
          <w:p w14:paraId="3745845E" w14:textId="17A695C4" w:rsidR="006F2AA8" w:rsidRPr="00142AFB" w:rsidRDefault="00EF0307" w:rsidP="006F2AA8">
            <w:pPr>
              <w:jc w:val="center"/>
              <w:rPr>
                <w:rFonts w:ascii="Arial" w:eastAsia="Times New Roman" w:hAnsi="Arial" w:cs="Arial"/>
                <w:b/>
                <w:bCs/>
                <w:color w:val="000000"/>
                <w:sz w:val="18"/>
                <w:szCs w:val="18"/>
                <w:lang w:eastAsia="en-GB"/>
              </w:rPr>
            </w:pPr>
            <w:r>
              <w:rPr>
                <w:rFonts w:ascii="Arial" w:eastAsia="Times New Roman" w:hAnsi="Arial" w:cs="Arial"/>
                <w:b/>
                <w:bCs/>
                <w:color w:val="000000"/>
                <w:sz w:val="18"/>
                <w:szCs w:val="18"/>
                <w:lang w:eastAsia="en-GB"/>
              </w:rPr>
              <w:t>-35.1 (&lt;0.0</w:t>
            </w:r>
            <w:r w:rsidR="006F2AA8" w:rsidRPr="00142AFB">
              <w:rPr>
                <w:rFonts w:ascii="Arial" w:eastAsia="Times New Roman" w:hAnsi="Arial" w:cs="Arial"/>
                <w:b/>
                <w:bCs/>
                <w:color w:val="000000"/>
                <w:sz w:val="18"/>
                <w:szCs w:val="18"/>
                <w:lang w:eastAsia="en-GB"/>
              </w:rPr>
              <w:t>1)</w:t>
            </w:r>
          </w:p>
        </w:tc>
      </w:tr>
      <w:tr w:rsidR="006F2AA8" w:rsidRPr="00142AFB" w14:paraId="14619948" w14:textId="77777777" w:rsidTr="008A4076">
        <w:tc>
          <w:tcPr>
            <w:tcW w:w="3261" w:type="dxa"/>
            <w:shd w:val="clear" w:color="auto" w:fill="F2F2F2"/>
          </w:tcPr>
          <w:p w14:paraId="270857E3" w14:textId="54B6F6FF" w:rsidR="006F2AA8" w:rsidRPr="00142AFB" w:rsidRDefault="006F2AA8" w:rsidP="006F2AA8">
            <w:pPr>
              <w:rPr>
                <w:rFonts w:ascii="Arial" w:eastAsia="Calibri" w:hAnsi="Arial" w:cs="Arial"/>
                <w:sz w:val="18"/>
                <w:szCs w:val="18"/>
              </w:rPr>
            </w:pPr>
            <w:r w:rsidRPr="0058389A">
              <w:rPr>
                <w:rFonts w:ascii="Arial" w:eastAsia="Calibri" w:hAnsi="Arial" w:cs="Arial"/>
                <w:sz w:val="18"/>
                <w:szCs w:val="18"/>
              </w:rPr>
              <w:t xml:space="preserve">    Non-PCV13 serotypes</w:t>
            </w:r>
          </w:p>
        </w:tc>
        <w:tc>
          <w:tcPr>
            <w:tcW w:w="1921" w:type="dxa"/>
            <w:shd w:val="clear" w:color="auto" w:fill="F2F2F2"/>
            <w:vAlign w:val="center"/>
          </w:tcPr>
          <w:p w14:paraId="06206202" w14:textId="77777777" w:rsidR="006F2AA8" w:rsidRPr="00142AFB" w:rsidRDefault="006F2AA8" w:rsidP="006F2AA8">
            <w:pPr>
              <w:jc w:val="center"/>
              <w:rPr>
                <w:rFonts w:ascii="Arial" w:eastAsia="Times New Roman" w:hAnsi="Arial" w:cs="Arial"/>
                <w:b/>
                <w:bCs/>
                <w:color w:val="000000"/>
                <w:sz w:val="18"/>
                <w:szCs w:val="18"/>
                <w:lang w:eastAsia="en-GB"/>
              </w:rPr>
            </w:pPr>
            <w:r w:rsidRPr="00142AFB">
              <w:rPr>
                <w:rFonts w:ascii="Arial" w:eastAsia="Times New Roman" w:hAnsi="Arial" w:cs="Arial"/>
                <w:b/>
                <w:bCs/>
                <w:color w:val="000000"/>
                <w:sz w:val="18"/>
                <w:szCs w:val="18"/>
                <w:lang w:eastAsia="en-GB"/>
              </w:rPr>
              <w:t>32.5 (22.4 to 43.5)</w:t>
            </w:r>
          </w:p>
        </w:tc>
        <w:tc>
          <w:tcPr>
            <w:tcW w:w="1922" w:type="dxa"/>
            <w:shd w:val="clear" w:color="auto" w:fill="F2F2F2"/>
            <w:vAlign w:val="center"/>
          </w:tcPr>
          <w:p w14:paraId="235C8ABB" w14:textId="77777777" w:rsidR="006F2AA8" w:rsidRPr="00142AFB" w:rsidRDefault="006F2AA8" w:rsidP="006F2AA8">
            <w:pPr>
              <w:jc w:val="center"/>
              <w:rPr>
                <w:rFonts w:ascii="Arial" w:eastAsia="Times New Roman" w:hAnsi="Arial" w:cs="Arial"/>
                <w:b/>
                <w:bCs/>
                <w:color w:val="000000"/>
                <w:sz w:val="18"/>
                <w:szCs w:val="18"/>
                <w:lang w:eastAsia="en-GB"/>
              </w:rPr>
            </w:pPr>
            <w:r w:rsidRPr="00142AFB">
              <w:rPr>
                <w:rFonts w:ascii="Arial" w:eastAsia="Times New Roman" w:hAnsi="Arial" w:cs="Arial"/>
                <w:b/>
                <w:bCs/>
                <w:color w:val="000000"/>
                <w:sz w:val="18"/>
                <w:szCs w:val="18"/>
                <w:lang w:eastAsia="en-GB"/>
              </w:rPr>
              <w:t>17.6 (6.7 to 29.7)</w:t>
            </w:r>
          </w:p>
        </w:tc>
        <w:tc>
          <w:tcPr>
            <w:tcW w:w="1922" w:type="dxa"/>
            <w:shd w:val="clear" w:color="auto" w:fill="F2F2F2"/>
            <w:vAlign w:val="center"/>
          </w:tcPr>
          <w:p w14:paraId="3042F945" w14:textId="2C125C64" w:rsidR="006F2AA8" w:rsidRPr="00142AFB" w:rsidRDefault="00EF0307" w:rsidP="006F2AA8">
            <w:pPr>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-11.2 (0.06</w:t>
            </w:r>
            <w:r w:rsidR="006F2AA8" w:rsidRPr="00142AFB">
              <w:rPr>
                <w:rFonts w:ascii="Arial" w:eastAsia="Times New Roman" w:hAnsi="Arial" w:cs="Arial"/>
                <w:color w:val="000000"/>
                <w:sz w:val="18"/>
                <w:szCs w:val="18"/>
                <w:lang w:eastAsia="en-GB"/>
              </w:rPr>
              <w:t>)</w:t>
            </w:r>
          </w:p>
        </w:tc>
      </w:tr>
      <w:tr w:rsidR="006F2AA8" w:rsidRPr="00142AFB" w14:paraId="1B6381E4" w14:textId="77777777" w:rsidTr="008A4076">
        <w:tc>
          <w:tcPr>
            <w:tcW w:w="3261" w:type="dxa"/>
            <w:tcBorders>
              <w:bottom w:val="single" w:sz="4" w:space="0" w:color="auto"/>
            </w:tcBorders>
          </w:tcPr>
          <w:p w14:paraId="7F422CBE" w14:textId="33598418" w:rsidR="006F2AA8" w:rsidRPr="00142AFB" w:rsidRDefault="006F2AA8" w:rsidP="006F2AA8">
            <w:pPr>
              <w:rPr>
                <w:rFonts w:ascii="Arial" w:eastAsia="Calibri" w:hAnsi="Arial" w:cs="Arial"/>
                <w:sz w:val="18"/>
                <w:szCs w:val="18"/>
              </w:rPr>
            </w:pPr>
            <w:r w:rsidRPr="0058389A">
              <w:rPr>
                <w:rFonts w:ascii="Arial" w:eastAsia="Calibri" w:hAnsi="Arial" w:cs="Arial"/>
                <w:sz w:val="18"/>
                <w:szCs w:val="18"/>
              </w:rPr>
              <w:t xml:space="preserve">    All serotypes</w:t>
            </w:r>
            <w:r>
              <w:rPr>
                <w:rFonts w:ascii="Arial" w:eastAsia="Calibri" w:hAnsi="Arial" w:cs="Arial"/>
                <w:sz w:val="18"/>
                <w:szCs w:val="18"/>
                <w:vertAlign w:val="superscript"/>
              </w:rPr>
              <w:t>b</w:t>
            </w:r>
          </w:p>
        </w:tc>
        <w:tc>
          <w:tcPr>
            <w:tcW w:w="1921" w:type="dxa"/>
            <w:tcBorders>
              <w:bottom w:val="single" w:sz="4" w:space="0" w:color="auto"/>
            </w:tcBorders>
            <w:vAlign w:val="center"/>
          </w:tcPr>
          <w:p w14:paraId="28BB6575" w14:textId="77777777" w:rsidR="006F2AA8" w:rsidRPr="00142AFB" w:rsidRDefault="006F2AA8" w:rsidP="006F2AA8">
            <w:pPr>
              <w:jc w:val="center"/>
              <w:rPr>
                <w:rFonts w:ascii="Arial" w:eastAsia="Times New Roman" w:hAnsi="Arial" w:cs="Arial"/>
                <w:b/>
                <w:bCs/>
                <w:color w:val="000000"/>
                <w:sz w:val="18"/>
                <w:szCs w:val="18"/>
                <w:lang w:eastAsia="en-GB"/>
              </w:rPr>
            </w:pPr>
            <w:r w:rsidRPr="00142AFB">
              <w:rPr>
                <w:rFonts w:ascii="Arial" w:eastAsia="Times New Roman" w:hAnsi="Arial" w:cs="Arial"/>
                <w:b/>
                <w:bCs/>
                <w:color w:val="000000"/>
                <w:sz w:val="18"/>
                <w:szCs w:val="18"/>
                <w:lang w:eastAsia="en-GB"/>
              </w:rPr>
              <w:t>-44.2 (-47.4 to -40.9)</w:t>
            </w:r>
          </w:p>
        </w:tc>
        <w:tc>
          <w:tcPr>
            <w:tcW w:w="1922" w:type="dxa"/>
            <w:tcBorders>
              <w:bottom w:val="single" w:sz="4" w:space="0" w:color="auto"/>
            </w:tcBorders>
            <w:vAlign w:val="center"/>
          </w:tcPr>
          <w:p w14:paraId="382FEF14" w14:textId="77777777" w:rsidR="006F2AA8" w:rsidRPr="00142AFB" w:rsidRDefault="006F2AA8" w:rsidP="006F2AA8">
            <w:pPr>
              <w:jc w:val="center"/>
              <w:rPr>
                <w:rFonts w:ascii="Arial" w:eastAsia="Times New Roman" w:hAnsi="Arial" w:cs="Arial"/>
                <w:b/>
                <w:bCs/>
                <w:color w:val="000000"/>
                <w:sz w:val="18"/>
                <w:szCs w:val="18"/>
                <w:lang w:eastAsia="en-GB"/>
              </w:rPr>
            </w:pPr>
            <w:r w:rsidRPr="00142AFB">
              <w:rPr>
                <w:rFonts w:ascii="Arial" w:eastAsia="Times New Roman" w:hAnsi="Arial" w:cs="Arial"/>
                <w:b/>
                <w:bCs/>
                <w:color w:val="000000"/>
                <w:sz w:val="18"/>
                <w:szCs w:val="18"/>
                <w:lang w:eastAsia="en-GB"/>
              </w:rPr>
              <w:t>-45.6 (-49.7 to -41.2)</w:t>
            </w:r>
          </w:p>
        </w:tc>
        <w:tc>
          <w:tcPr>
            <w:tcW w:w="1922" w:type="dxa"/>
            <w:tcBorders>
              <w:bottom w:val="single" w:sz="4" w:space="0" w:color="auto"/>
            </w:tcBorders>
            <w:vAlign w:val="center"/>
          </w:tcPr>
          <w:p w14:paraId="21F3A73D" w14:textId="34D8A0F3" w:rsidR="006F2AA8" w:rsidRPr="00142AFB" w:rsidRDefault="00EF0307" w:rsidP="006F2AA8">
            <w:pPr>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-2.5 (0.62</w:t>
            </w:r>
            <w:r w:rsidR="006F2AA8" w:rsidRPr="00142AFB">
              <w:rPr>
                <w:rFonts w:ascii="Arial" w:eastAsia="Times New Roman" w:hAnsi="Arial" w:cs="Arial"/>
                <w:color w:val="000000"/>
                <w:sz w:val="18"/>
                <w:szCs w:val="18"/>
                <w:lang w:eastAsia="en-GB"/>
              </w:rPr>
              <w:t>)</w:t>
            </w:r>
          </w:p>
        </w:tc>
      </w:tr>
      <w:tr w:rsidR="006F2AA8" w:rsidRPr="00142AFB" w14:paraId="264552F3" w14:textId="77777777" w:rsidTr="008A4076">
        <w:tc>
          <w:tcPr>
            <w:tcW w:w="9026" w:type="dxa"/>
            <w:gridSpan w:val="4"/>
            <w:tcBorders>
              <w:top w:val="single" w:sz="4" w:space="0" w:color="auto"/>
              <w:bottom w:val="single" w:sz="4" w:space="0" w:color="auto"/>
            </w:tcBorders>
          </w:tcPr>
          <w:p w14:paraId="537ABA2E" w14:textId="455F86A3" w:rsidR="006F2AA8" w:rsidRPr="00142AFB" w:rsidRDefault="006F2AA8" w:rsidP="006F2AA8">
            <w:pPr>
              <w:rPr>
                <w:rFonts w:ascii="Arial" w:eastAsia="Calibri" w:hAnsi="Arial" w:cs="Arial"/>
                <w:b/>
                <w:sz w:val="18"/>
                <w:szCs w:val="18"/>
              </w:rPr>
            </w:pPr>
            <w:r w:rsidRPr="0058389A">
              <w:rPr>
                <w:rFonts w:ascii="Arial" w:eastAsia="Calibri" w:hAnsi="Arial" w:cs="Arial"/>
                <w:b/>
                <w:sz w:val="18"/>
                <w:szCs w:val="18"/>
              </w:rPr>
              <w:t>Individuals of all ages</w:t>
            </w:r>
          </w:p>
        </w:tc>
      </w:tr>
      <w:tr w:rsidR="006F2AA8" w:rsidRPr="00142AFB" w14:paraId="4C4D708C" w14:textId="77777777" w:rsidTr="008A4076">
        <w:tc>
          <w:tcPr>
            <w:tcW w:w="3261" w:type="dxa"/>
            <w:tcBorders>
              <w:top w:val="single" w:sz="4" w:space="0" w:color="auto"/>
            </w:tcBorders>
            <w:shd w:val="clear" w:color="auto" w:fill="F2F2F2"/>
          </w:tcPr>
          <w:p w14:paraId="4C8BFEC1" w14:textId="7925DF57" w:rsidR="006F2AA8" w:rsidRPr="00142AFB" w:rsidRDefault="006F2AA8" w:rsidP="006F2AA8">
            <w:pPr>
              <w:rPr>
                <w:rFonts w:ascii="Arial" w:eastAsia="Calibri" w:hAnsi="Arial" w:cs="Arial"/>
                <w:sz w:val="18"/>
                <w:szCs w:val="18"/>
              </w:rPr>
            </w:pPr>
            <w:r w:rsidRPr="0058389A">
              <w:rPr>
                <w:rFonts w:ascii="Arial" w:eastAsia="Calibri" w:hAnsi="Arial" w:cs="Arial"/>
                <w:sz w:val="18"/>
                <w:szCs w:val="18"/>
              </w:rPr>
              <w:t xml:space="preserve">    PCV7 serotypes</w:t>
            </w:r>
            <w:r>
              <w:rPr>
                <w:rFonts w:ascii="Arial" w:eastAsia="Calibri" w:hAnsi="Arial" w:cs="Arial"/>
                <w:sz w:val="18"/>
                <w:szCs w:val="18"/>
                <w:vertAlign w:val="superscript"/>
              </w:rPr>
              <w:t>c</w:t>
            </w:r>
          </w:p>
        </w:tc>
        <w:tc>
          <w:tcPr>
            <w:tcW w:w="1921" w:type="dxa"/>
            <w:tcBorders>
              <w:top w:val="single" w:sz="4" w:space="0" w:color="auto"/>
            </w:tcBorders>
            <w:shd w:val="clear" w:color="auto" w:fill="F2F2F2"/>
            <w:vAlign w:val="center"/>
          </w:tcPr>
          <w:p w14:paraId="31B92115" w14:textId="77777777" w:rsidR="006F2AA8" w:rsidRPr="00142AFB" w:rsidRDefault="006F2AA8" w:rsidP="006F2AA8">
            <w:pPr>
              <w:jc w:val="center"/>
              <w:rPr>
                <w:rFonts w:ascii="Arial" w:eastAsia="Times New Roman" w:hAnsi="Arial" w:cs="Arial"/>
                <w:b/>
                <w:bCs/>
                <w:color w:val="000000"/>
                <w:sz w:val="18"/>
                <w:szCs w:val="18"/>
                <w:lang w:eastAsia="en-GB"/>
              </w:rPr>
            </w:pPr>
            <w:r w:rsidRPr="00142AFB">
              <w:rPr>
                <w:rFonts w:ascii="Arial" w:eastAsia="Times New Roman" w:hAnsi="Arial" w:cs="Arial"/>
                <w:b/>
                <w:bCs/>
                <w:color w:val="000000"/>
                <w:sz w:val="18"/>
                <w:szCs w:val="18"/>
                <w:lang w:eastAsia="en-GB"/>
              </w:rPr>
              <w:t>-86.5 (-88.3 to -84.4)</w:t>
            </w:r>
          </w:p>
        </w:tc>
        <w:tc>
          <w:tcPr>
            <w:tcW w:w="1922" w:type="dxa"/>
            <w:tcBorders>
              <w:top w:val="single" w:sz="4" w:space="0" w:color="auto"/>
            </w:tcBorders>
            <w:shd w:val="clear" w:color="auto" w:fill="F2F2F2"/>
            <w:vAlign w:val="center"/>
          </w:tcPr>
          <w:p w14:paraId="2636FCD8" w14:textId="77777777" w:rsidR="006F2AA8" w:rsidRPr="00142AFB" w:rsidRDefault="006F2AA8" w:rsidP="006F2AA8">
            <w:pPr>
              <w:jc w:val="center"/>
              <w:rPr>
                <w:rFonts w:ascii="Arial" w:eastAsia="Times New Roman" w:hAnsi="Arial" w:cs="Arial"/>
                <w:b/>
                <w:bCs/>
                <w:color w:val="000000"/>
                <w:sz w:val="18"/>
                <w:szCs w:val="18"/>
                <w:lang w:eastAsia="en-GB"/>
              </w:rPr>
            </w:pPr>
            <w:r w:rsidRPr="00142AFB">
              <w:rPr>
                <w:rFonts w:ascii="Arial" w:eastAsia="Times New Roman" w:hAnsi="Arial" w:cs="Arial"/>
                <w:b/>
                <w:bCs/>
                <w:color w:val="000000"/>
                <w:sz w:val="18"/>
                <w:szCs w:val="18"/>
                <w:lang w:eastAsia="en-GB"/>
              </w:rPr>
              <w:t>-86.9 (-89.2 to -84.1)</w:t>
            </w:r>
          </w:p>
        </w:tc>
        <w:tc>
          <w:tcPr>
            <w:tcW w:w="1922" w:type="dxa"/>
            <w:tcBorders>
              <w:top w:val="single" w:sz="4" w:space="0" w:color="auto"/>
            </w:tcBorders>
            <w:shd w:val="clear" w:color="auto" w:fill="F2F2F2"/>
            <w:vAlign w:val="center"/>
          </w:tcPr>
          <w:p w14:paraId="268EB89F" w14:textId="1A544766" w:rsidR="006F2AA8" w:rsidRPr="00142AFB" w:rsidRDefault="00EF0307" w:rsidP="006F2AA8">
            <w:pPr>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-3.2 (0.79</w:t>
            </w:r>
            <w:r w:rsidR="006F2AA8" w:rsidRPr="00142AFB">
              <w:rPr>
                <w:rFonts w:ascii="Arial" w:eastAsia="Times New Roman" w:hAnsi="Arial" w:cs="Arial"/>
                <w:color w:val="000000"/>
                <w:sz w:val="18"/>
                <w:szCs w:val="18"/>
                <w:lang w:eastAsia="en-GB"/>
              </w:rPr>
              <w:t>)</w:t>
            </w:r>
          </w:p>
        </w:tc>
      </w:tr>
      <w:tr w:rsidR="006F2AA8" w:rsidRPr="00142AFB" w14:paraId="5FAA4BDD" w14:textId="77777777" w:rsidTr="008A4076">
        <w:tc>
          <w:tcPr>
            <w:tcW w:w="3261" w:type="dxa"/>
          </w:tcPr>
          <w:p w14:paraId="51E37AF5" w14:textId="447EC828" w:rsidR="006F2AA8" w:rsidRPr="00142AFB" w:rsidRDefault="006F2AA8" w:rsidP="006F2AA8">
            <w:pPr>
              <w:rPr>
                <w:rFonts w:ascii="Arial" w:eastAsia="Calibri" w:hAnsi="Arial" w:cs="Arial"/>
                <w:sz w:val="18"/>
                <w:szCs w:val="18"/>
              </w:rPr>
            </w:pPr>
            <w:r w:rsidRPr="0058389A">
              <w:rPr>
                <w:rFonts w:ascii="Arial" w:eastAsia="Calibri" w:hAnsi="Arial" w:cs="Arial"/>
                <w:sz w:val="18"/>
                <w:szCs w:val="18"/>
              </w:rPr>
              <w:t xml:space="preserve">    Additional PCV13 serotypes</w:t>
            </w:r>
            <w:r>
              <w:rPr>
                <w:rFonts w:ascii="Arial" w:eastAsia="Calibri" w:hAnsi="Arial" w:cs="Arial"/>
                <w:sz w:val="18"/>
                <w:szCs w:val="18"/>
                <w:vertAlign w:val="superscript"/>
              </w:rPr>
              <w:t>c</w:t>
            </w:r>
          </w:p>
        </w:tc>
        <w:tc>
          <w:tcPr>
            <w:tcW w:w="1921" w:type="dxa"/>
            <w:vAlign w:val="center"/>
          </w:tcPr>
          <w:p w14:paraId="1EF0E984" w14:textId="77777777" w:rsidR="006F2AA8" w:rsidRPr="00142AFB" w:rsidRDefault="006F2AA8" w:rsidP="006F2AA8">
            <w:pPr>
              <w:jc w:val="center"/>
              <w:rPr>
                <w:rFonts w:ascii="Arial" w:eastAsia="Times New Roman" w:hAnsi="Arial" w:cs="Arial"/>
                <w:b/>
                <w:bCs/>
                <w:color w:val="000000"/>
                <w:sz w:val="18"/>
                <w:szCs w:val="18"/>
                <w:lang w:eastAsia="en-GB"/>
              </w:rPr>
            </w:pPr>
            <w:r w:rsidRPr="00142AFB">
              <w:rPr>
                <w:rFonts w:ascii="Arial" w:eastAsia="Times New Roman" w:hAnsi="Arial" w:cs="Arial"/>
                <w:b/>
                <w:bCs/>
                <w:color w:val="000000"/>
                <w:sz w:val="18"/>
                <w:szCs w:val="18"/>
                <w:lang w:eastAsia="en-GB"/>
              </w:rPr>
              <w:t>-73.2 (-76.0 to -70.1)</w:t>
            </w:r>
          </w:p>
        </w:tc>
        <w:tc>
          <w:tcPr>
            <w:tcW w:w="1922" w:type="dxa"/>
            <w:vAlign w:val="center"/>
          </w:tcPr>
          <w:p w14:paraId="1B3B1EA2" w14:textId="77777777" w:rsidR="006F2AA8" w:rsidRPr="00142AFB" w:rsidRDefault="006F2AA8" w:rsidP="006F2AA8">
            <w:pPr>
              <w:jc w:val="center"/>
              <w:rPr>
                <w:rFonts w:ascii="Arial" w:eastAsia="Times New Roman" w:hAnsi="Arial" w:cs="Arial"/>
                <w:b/>
                <w:bCs/>
                <w:color w:val="000000"/>
                <w:sz w:val="18"/>
                <w:szCs w:val="18"/>
                <w:lang w:eastAsia="en-GB"/>
              </w:rPr>
            </w:pPr>
            <w:r w:rsidRPr="00142AFB">
              <w:rPr>
                <w:rFonts w:ascii="Arial" w:eastAsia="Times New Roman" w:hAnsi="Arial" w:cs="Arial"/>
                <w:b/>
                <w:bCs/>
                <w:color w:val="000000"/>
                <w:sz w:val="18"/>
                <w:szCs w:val="18"/>
                <w:lang w:eastAsia="en-GB"/>
              </w:rPr>
              <w:t>-82.1 (-85.4 to -78.0)</w:t>
            </w:r>
          </w:p>
        </w:tc>
        <w:tc>
          <w:tcPr>
            <w:tcW w:w="1922" w:type="dxa"/>
            <w:vAlign w:val="center"/>
          </w:tcPr>
          <w:p w14:paraId="4612F0BD" w14:textId="52A44258" w:rsidR="006F2AA8" w:rsidRPr="00142AFB" w:rsidRDefault="006F2AA8" w:rsidP="006F2AA8">
            <w:pPr>
              <w:jc w:val="center"/>
              <w:rPr>
                <w:rFonts w:ascii="Arial" w:eastAsia="Times New Roman" w:hAnsi="Arial" w:cs="Arial"/>
                <w:b/>
                <w:bCs/>
                <w:color w:val="000000"/>
                <w:sz w:val="18"/>
                <w:szCs w:val="18"/>
                <w:lang w:eastAsia="en-GB"/>
              </w:rPr>
            </w:pPr>
            <w:r w:rsidRPr="00142AFB">
              <w:rPr>
                <w:rFonts w:ascii="Arial" w:eastAsia="Times New Roman" w:hAnsi="Arial" w:cs="Arial"/>
                <w:b/>
                <w:bCs/>
                <w:color w:val="000000"/>
                <w:sz w:val="18"/>
                <w:szCs w:val="18"/>
                <w:lang w:eastAsia="en-GB"/>
              </w:rPr>
              <w:t>-33.1 (</w:t>
            </w:r>
            <w:r w:rsidR="00EF0307">
              <w:rPr>
                <w:rFonts w:ascii="Arial" w:eastAsia="Times New Roman" w:hAnsi="Arial" w:cs="Arial"/>
                <w:b/>
                <w:bCs/>
                <w:color w:val="000000"/>
                <w:sz w:val="18"/>
                <w:szCs w:val="18"/>
                <w:lang w:eastAsia="en-GB"/>
              </w:rPr>
              <w:t>&lt;0.0</w:t>
            </w:r>
            <w:r w:rsidRPr="00142AFB">
              <w:rPr>
                <w:rFonts w:ascii="Arial" w:eastAsia="Times New Roman" w:hAnsi="Arial" w:cs="Arial"/>
                <w:b/>
                <w:bCs/>
                <w:color w:val="000000"/>
                <w:sz w:val="18"/>
                <w:szCs w:val="18"/>
                <w:lang w:eastAsia="en-GB"/>
              </w:rPr>
              <w:t>1)</w:t>
            </w:r>
          </w:p>
        </w:tc>
      </w:tr>
      <w:tr w:rsidR="006F2AA8" w:rsidRPr="00142AFB" w14:paraId="20539247" w14:textId="77777777" w:rsidTr="008A4076">
        <w:tc>
          <w:tcPr>
            <w:tcW w:w="3261" w:type="dxa"/>
            <w:shd w:val="clear" w:color="auto" w:fill="F2F2F2"/>
          </w:tcPr>
          <w:p w14:paraId="232D48E2" w14:textId="54FD3C47" w:rsidR="006F2AA8" w:rsidRPr="00142AFB" w:rsidRDefault="006F2AA8" w:rsidP="006F2AA8">
            <w:pPr>
              <w:rPr>
                <w:rFonts w:ascii="Arial" w:eastAsia="Calibri" w:hAnsi="Arial" w:cs="Arial"/>
                <w:b/>
                <w:sz w:val="18"/>
                <w:szCs w:val="18"/>
              </w:rPr>
            </w:pPr>
            <w:r w:rsidRPr="0058389A">
              <w:rPr>
                <w:rFonts w:ascii="Arial" w:eastAsia="Calibri" w:hAnsi="Arial" w:cs="Arial"/>
                <w:sz w:val="18"/>
                <w:szCs w:val="18"/>
              </w:rPr>
              <w:t xml:space="preserve">    Non-PCV13 serotypes</w:t>
            </w:r>
            <w:r>
              <w:rPr>
                <w:rFonts w:ascii="Arial" w:eastAsia="Calibri" w:hAnsi="Arial" w:cs="Arial"/>
                <w:sz w:val="18"/>
                <w:szCs w:val="18"/>
                <w:vertAlign w:val="superscript"/>
              </w:rPr>
              <w:t>c</w:t>
            </w:r>
          </w:p>
        </w:tc>
        <w:tc>
          <w:tcPr>
            <w:tcW w:w="1921" w:type="dxa"/>
            <w:shd w:val="clear" w:color="auto" w:fill="F2F2F2"/>
            <w:vAlign w:val="center"/>
          </w:tcPr>
          <w:p w14:paraId="1B51D9A6" w14:textId="77777777" w:rsidR="006F2AA8" w:rsidRPr="00142AFB" w:rsidRDefault="006F2AA8" w:rsidP="006F2AA8">
            <w:pPr>
              <w:jc w:val="center"/>
              <w:rPr>
                <w:rFonts w:ascii="Arial" w:eastAsia="Times New Roman" w:hAnsi="Arial" w:cs="Arial"/>
                <w:b/>
                <w:bCs/>
                <w:color w:val="000000"/>
                <w:sz w:val="18"/>
                <w:szCs w:val="18"/>
                <w:lang w:eastAsia="en-GB"/>
              </w:rPr>
            </w:pPr>
            <w:r w:rsidRPr="00142AFB">
              <w:rPr>
                <w:rFonts w:ascii="Arial" w:eastAsia="Times New Roman" w:hAnsi="Arial" w:cs="Arial"/>
                <w:b/>
                <w:bCs/>
                <w:color w:val="000000"/>
                <w:sz w:val="18"/>
                <w:szCs w:val="18"/>
                <w:lang w:eastAsia="en-GB"/>
              </w:rPr>
              <w:t>31.3 (22.3 to 41.0)</w:t>
            </w:r>
          </w:p>
        </w:tc>
        <w:tc>
          <w:tcPr>
            <w:tcW w:w="1922" w:type="dxa"/>
            <w:shd w:val="clear" w:color="auto" w:fill="F2F2F2"/>
            <w:vAlign w:val="center"/>
          </w:tcPr>
          <w:p w14:paraId="2E177D16" w14:textId="77777777" w:rsidR="006F2AA8" w:rsidRPr="00142AFB" w:rsidRDefault="006F2AA8" w:rsidP="006F2AA8">
            <w:pPr>
              <w:jc w:val="center"/>
              <w:rPr>
                <w:rFonts w:ascii="Arial" w:eastAsia="Times New Roman" w:hAnsi="Arial" w:cs="Arial"/>
                <w:b/>
                <w:bCs/>
                <w:color w:val="000000"/>
                <w:sz w:val="18"/>
                <w:szCs w:val="18"/>
                <w:lang w:eastAsia="en-GB"/>
              </w:rPr>
            </w:pPr>
            <w:r w:rsidRPr="00142AFB">
              <w:rPr>
                <w:rFonts w:ascii="Arial" w:eastAsia="Times New Roman" w:hAnsi="Arial" w:cs="Arial"/>
                <w:b/>
                <w:bCs/>
                <w:color w:val="000000"/>
                <w:sz w:val="18"/>
                <w:szCs w:val="18"/>
                <w:lang w:eastAsia="en-GB"/>
              </w:rPr>
              <w:t>20.4 (10.2 to 31.5)</w:t>
            </w:r>
          </w:p>
        </w:tc>
        <w:tc>
          <w:tcPr>
            <w:tcW w:w="1922" w:type="dxa"/>
            <w:shd w:val="clear" w:color="auto" w:fill="F2F2F2"/>
            <w:vAlign w:val="center"/>
          </w:tcPr>
          <w:p w14:paraId="56268F48" w14:textId="332C21E1" w:rsidR="006F2AA8" w:rsidRPr="00142AFB" w:rsidRDefault="00EF0307" w:rsidP="006F2AA8">
            <w:pPr>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-8.3 (0.13</w:t>
            </w:r>
            <w:r w:rsidR="006F2AA8" w:rsidRPr="00142AFB">
              <w:rPr>
                <w:rFonts w:ascii="Arial" w:eastAsia="Times New Roman" w:hAnsi="Arial" w:cs="Arial"/>
                <w:color w:val="000000"/>
                <w:sz w:val="18"/>
                <w:szCs w:val="18"/>
                <w:lang w:eastAsia="en-GB"/>
              </w:rPr>
              <w:t>)</w:t>
            </w:r>
          </w:p>
        </w:tc>
      </w:tr>
      <w:tr w:rsidR="006F2AA8" w:rsidRPr="00142AFB" w14:paraId="3CCC6BD8" w14:textId="77777777" w:rsidTr="008A4076">
        <w:tc>
          <w:tcPr>
            <w:tcW w:w="3261" w:type="dxa"/>
            <w:tcBorders>
              <w:bottom w:val="single" w:sz="4" w:space="0" w:color="auto"/>
            </w:tcBorders>
          </w:tcPr>
          <w:p w14:paraId="411F6E75" w14:textId="675DCF5A" w:rsidR="006F2AA8" w:rsidRPr="00142AFB" w:rsidRDefault="006F2AA8" w:rsidP="006F2AA8">
            <w:pPr>
              <w:rPr>
                <w:rFonts w:ascii="Arial" w:eastAsia="Calibri" w:hAnsi="Arial" w:cs="Arial"/>
                <w:sz w:val="18"/>
                <w:szCs w:val="18"/>
              </w:rPr>
            </w:pPr>
            <w:r w:rsidRPr="0058389A">
              <w:rPr>
                <w:rFonts w:ascii="Arial" w:eastAsia="Calibri" w:hAnsi="Arial" w:cs="Arial"/>
                <w:sz w:val="18"/>
                <w:szCs w:val="18"/>
              </w:rPr>
              <w:t xml:space="preserve">    All serotypes</w:t>
            </w:r>
            <w:r>
              <w:rPr>
                <w:rFonts w:ascii="Arial" w:eastAsia="Calibri" w:hAnsi="Arial" w:cs="Arial"/>
                <w:sz w:val="18"/>
                <w:szCs w:val="18"/>
                <w:vertAlign w:val="superscript"/>
              </w:rPr>
              <w:t>d</w:t>
            </w:r>
          </w:p>
        </w:tc>
        <w:tc>
          <w:tcPr>
            <w:tcW w:w="1921" w:type="dxa"/>
            <w:tcBorders>
              <w:bottom w:val="single" w:sz="4" w:space="0" w:color="auto"/>
            </w:tcBorders>
            <w:vAlign w:val="center"/>
          </w:tcPr>
          <w:p w14:paraId="6DDD4EF9" w14:textId="77777777" w:rsidR="006F2AA8" w:rsidRPr="00142AFB" w:rsidRDefault="006F2AA8" w:rsidP="006F2AA8">
            <w:pPr>
              <w:jc w:val="center"/>
              <w:rPr>
                <w:rFonts w:ascii="Arial" w:eastAsia="Times New Roman" w:hAnsi="Arial" w:cs="Arial"/>
                <w:b/>
                <w:bCs/>
                <w:color w:val="000000"/>
                <w:sz w:val="18"/>
                <w:szCs w:val="18"/>
                <w:lang w:eastAsia="en-GB"/>
              </w:rPr>
            </w:pPr>
            <w:r w:rsidRPr="00142AFB">
              <w:rPr>
                <w:rFonts w:ascii="Arial" w:eastAsia="Times New Roman" w:hAnsi="Arial" w:cs="Arial"/>
                <w:b/>
                <w:bCs/>
                <w:color w:val="000000"/>
                <w:sz w:val="18"/>
                <w:szCs w:val="18"/>
                <w:lang w:eastAsia="en-GB"/>
              </w:rPr>
              <w:t>-54.9 (-57.2 to -52.5)</w:t>
            </w:r>
          </w:p>
        </w:tc>
        <w:tc>
          <w:tcPr>
            <w:tcW w:w="1922" w:type="dxa"/>
            <w:tcBorders>
              <w:bottom w:val="single" w:sz="4" w:space="0" w:color="auto"/>
            </w:tcBorders>
            <w:vAlign w:val="center"/>
          </w:tcPr>
          <w:p w14:paraId="5E2BA9CE" w14:textId="77777777" w:rsidR="006F2AA8" w:rsidRPr="00142AFB" w:rsidRDefault="006F2AA8" w:rsidP="006F2AA8">
            <w:pPr>
              <w:jc w:val="center"/>
              <w:rPr>
                <w:rFonts w:ascii="Arial" w:eastAsia="Times New Roman" w:hAnsi="Arial" w:cs="Arial"/>
                <w:b/>
                <w:bCs/>
                <w:color w:val="000000"/>
                <w:sz w:val="18"/>
                <w:szCs w:val="18"/>
                <w:lang w:eastAsia="en-GB"/>
              </w:rPr>
            </w:pPr>
            <w:r w:rsidRPr="00142AFB">
              <w:rPr>
                <w:rFonts w:ascii="Arial" w:eastAsia="Times New Roman" w:hAnsi="Arial" w:cs="Arial"/>
                <w:b/>
                <w:bCs/>
                <w:color w:val="000000"/>
                <w:sz w:val="18"/>
                <w:szCs w:val="18"/>
                <w:lang w:eastAsia="en-GB"/>
              </w:rPr>
              <w:t>-54.3 (-57.5 to -51.0)</w:t>
            </w:r>
          </w:p>
        </w:tc>
        <w:tc>
          <w:tcPr>
            <w:tcW w:w="1922" w:type="dxa"/>
            <w:tcBorders>
              <w:bottom w:val="single" w:sz="4" w:space="0" w:color="auto"/>
            </w:tcBorders>
            <w:vAlign w:val="center"/>
          </w:tcPr>
          <w:p w14:paraId="4C1E2DB6" w14:textId="0958297B" w:rsidR="006F2AA8" w:rsidRPr="00142AFB" w:rsidRDefault="00EF0307" w:rsidP="006F2AA8">
            <w:pPr>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1.3 (0.78</w:t>
            </w:r>
            <w:r w:rsidR="006F2AA8" w:rsidRPr="00142AFB">
              <w:rPr>
                <w:rFonts w:ascii="Arial" w:eastAsia="Times New Roman" w:hAnsi="Arial" w:cs="Arial"/>
                <w:color w:val="000000"/>
                <w:sz w:val="18"/>
                <w:szCs w:val="18"/>
                <w:lang w:eastAsia="en-GB"/>
              </w:rPr>
              <w:t>)</w:t>
            </w:r>
          </w:p>
        </w:tc>
      </w:tr>
    </w:tbl>
    <w:p w14:paraId="5F4F601D" w14:textId="77777777" w:rsidR="00CF32A2" w:rsidRPr="00CF32A2" w:rsidRDefault="00CF32A2" w:rsidP="00CF32A2">
      <w:pPr>
        <w:spacing w:after="0"/>
        <w:rPr>
          <w:rFonts w:ascii="Arial" w:eastAsia="Calibri" w:hAnsi="Arial" w:cs="Arial"/>
          <w:sz w:val="16"/>
          <w:szCs w:val="20"/>
          <w:lang w:val="en-US"/>
        </w:rPr>
      </w:pPr>
      <w:r w:rsidRPr="00CF32A2">
        <w:rPr>
          <w:rFonts w:ascii="Arial" w:eastAsia="Calibri" w:hAnsi="Arial" w:cs="Arial"/>
          <w:sz w:val="16"/>
          <w:szCs w:val="20"/>
          <w:lang w:val="en-US"/>
        </w:rPr>
        <w:t>Abbreviations: CI: confidence intervals; PCV: pneumococcal conjugate vaccine; PCV7 serotypes: 4, 6B, 9V, 14, 18C, 19F and 23F; Additional PCV13 serotypes: 1, 3, 5, 6A, 7F and 19A; Non-PCV13 serotypes: all serotype not in PCV13.</w:t>
      </w:r>
    </w:p>
    <w:p w14:paraId="03272D6D" w14:textId="3B25B5C8" w:rsidR="00CF32A2" w:rsidRPr="00CF32A2" w:rsidRDefault="00CF32A2" w:rsidP="00CF32A2">
      <w:pPr>
        <w:spacing w:after="0"/>
        <w:rPr>
          <w:rFonts w:ascii="Arial" w:eastAsia="Calibri" w:hAnsi="Arial" w:cs="Arial"/>
          <w:sz w:val="16"/>
          <w:szCs w:val="20"/>
          <w:lang w:val="en-US"/>
        </w:rPr>
      </w:pPr>
      <w:r w:rsidRPr="00CF32A2">
        <w:rPr>
          <w:rFonts w:ascii="Arial" w:eastAsia="Calibri" w:hAnsi="Arial" w:cs="Arial"/>
          <w:sz w:val="16"/>
          <w:szCs w:val="20"/>
          <w:lang w:val="en-US"/>
        </w:rPr>
        <w:t>a Percentage effect difference calculated as the rate ratio of the interaction term for PCV period (2016 vs. 2</w:t>
      </w:r>
      <w:r>
        <w:rPr>
          <w:rFonts w:ascii="Arial" w:eastAsia="Calibri" w:hAnsi="Arial" w:cs="Arial"/>
          <w:sz w:val="16"/>
          <w:szCs w:val="20"/>
          <w:lang w:val="en-US"/>
        </w:rPr>
        <w:t>005-2008) and syndrome (PM vs. nm</w:t>
      </w:r>
      <w:r w:rsidRPr="00CF32A2">
        <w:rPr>
          <w:rFonts w:ascii="Arial" w:eastAsia="Calibri" w:hAnsi="Arial" w:cs="Arial"/>
          <w:sz w:val="16"/>
          <w:szCs w:val="20"/>
          <w:lang w:val="en-US"/>
        </w:rPr>
        <w:t>IPD) term minus 1 multiplied by 100</w:t>
      </w:r>
    </w:p>
    <w:p w14:paraId="11066FDD" w14:textId="77777777" w:rsidR="00CF32A2" w:rsidRPr="00CF32A2" w:rsidRDefault="00CF32A2" w:rsidP="00CF32A2">
      <w:pPr>
        <w:spacing w:after="0"/>
        <w:rPr>
          <w:rFonts w:ascii="Arial" w:eastAsia="Calibri" w:hAnsi="Arial" w:cs="Arial"/>
          <w:sz w:val="16"/>
          <w:szCs w:val="20"/>
          <w:lang w:val="en-US"/>
        </w:rPr>
      </w:pPr>
      <w:r w:rsidRPr="00CF32A2">
        <w:rPr>
          <w:rFonts w:ascii="Arial" w:eastAsia="Calibri" w:hAnsi="Arial" w:cs="Arial"/>
          <w:sz w:val="16"/>
          <w:szCs w:val="20"/>
          <w:lang w:val="en-US"/>
        </w:rPr>
        <w:t>b Model adjusted by serotype groups: PCV7, additional PCV13 and non-PCV13 serotypes.</w:t>
      </w:r>
    </w:p>
    <w:p w14:paraId="3EFE2CC8" w14:textId="77777777" w:rsidR="00CF32A2" w:rsidRPr="00CF32A2" w:rsidRDefault="00CF32A2" w:rsidP="00CF32A2">
      <w:pPr>
        <w:spacing w:after="0"/>
        <w:rPr>
          <w:rFonts w:ascii="Arial" w:eastAsia="Calibri" w:hAnsi="Arial" w:cs="Arial"/>
          <w:sz w:val="16"/>
          <w:szCs w:val="20"/>
          <w:lang w:val="en-US"/>
        </w:rPr>
      </w:pPr>
      <w:r w:rsidRPr="00CF32A2">
        <w:rPr>
          <w:rFonts w:ascii="Arial" w:eastAsia="Calibri" w:hAnsi="Arial" w:cs="Arial"/>
          <w:sz w:val="16"/>
          <w:szCs w:val="20"/>
          <w:lang w:val="en-US"/>
        </w:rPr>
        <w:t>c Model adjusted by age groups: individuals &lt;5 and ≥5 years of age.</w:t>
      </w:r>
    </w:p>
    <w:p w14:paraId="11D7C0F7" w14:textId="3808C7AD" w:rsidR="006F354E" w:rsidRDefault="00CF32A2" w:rsidP="00CF32A2">
      <w:pPr>
        <w:spacing w:after="0"/>
        <w:rPr>
          <w:rStyle w:val="Hyperlink"/>
          <w:rFonts w:ascii="Arial" w:hAnsi="Arial" w:cs="Arial"/>
          <w:b/>
          <w:noProof/>
          <w:sz w:val="24"/>
          <w:szCs w:val="24"/>
          <w:lang w:val="en-US"/>
        </w:rPr>
      </w:pPr>
      <w:r w:rsidRPr="00CF32A2">
        <w:rPr>
          <w:rFonts w:ascii="Arial" w:eastAsia="Calibri" w:hAnsi="Arial" w:cs="Arial"/>
          <w:sz w:val="16"/>
          <w:szCs w:val="20"/>
          <w:lang w:val="en-US"/>
        </w:rPr>
        <w:t>d Model adjusted by serotype and age groups.</w:t>
      </w:r>
      <w:r w:rsidR="006F354E">
        <w:rPr>
          <w:rStyle w:val="Hyperlink"/>
          <w:b/>
        </w:rPr>
        <w:br w:type="page"/>
      </w:r>
    </w:p>
    <w:p w14:paraId="63BA7274" w14:textId="77777777" w:rsidR="00F809A1" w:rsidRDefault="00B940F2">
      <w:pPr>
        <w:rPr>
          <w:rFonts w:ascii="Arial" w:eastAsia="Calibri" w:hAnsi="Arial" w:cs="Arial"/>
          <w:sz w:val="24"/>
          <w:szCs w:val="24"/>
          <w:lang w:val="en-US"/>
        </w:rPr>
      </w:pPr>
      <w:r w:rsidRPr="002A4FB6">
        <w:rPr>
          <w:rStyle w:val="Hyperlink"/>
          <w:rFonts w:ascii="Arial" w:hAnsi="Arial" w:cs="Arial"/>
          <w:b/>
          <w:sz w:val="24"/>
          <w:szCs w:val="24"/>
        </w:rPr>
        <w:lastRenderedPageBreak/>
        <w:t xml:space="preserve">Supplementary </w:t>
      </w:r>
      <w:r>
        <w:rPr>
          <w:rStyle w:val="Hyperlink"/>
          <w:rFonts w:ascii="Arial" w:hAnsi="Arial" w:cs="Arial"/>
          <w:b/>
          <w:sz w:val="24"/>
          <w:szCs w:val="24"/>
        </w:rPr>
        <w:t>Figure</w:t>
      </w:r>
      <w:r w:rsidRPr="002A4FB6">
        <w:rPr>
          <w:rStyle w:val="Hyperlink"/>
          <w:rFonts w:ascii="Arial" w:hAnsi="Arial" w:cs="Arial"/>
          <w:b/>
          <w:sz w:val="24"/>
          <w:szCs w:val="24"/>
        </w:rPr>
        <w:t xml:space="preserve"> </w:t>
      </w:r>
      <w:r>
        <w:rPr>
          <w:rStyle w:val="Hyperlink"/>
          <w:rFonts w:ascii="Arial" w:hAnsi="Arial" w:cs="Arial"/>
          <w:b/>
          <w:sz w:val="24"/>
          <w:szCs w:val="24"/>
        </w:rPr>
        <w:t>2</w:t>
      </w:r>
      <w:r w:rsidRPr="00142AFB">
        <w:rPr>
          <w:rFonts w:ascii="Arial" w:eastAsia="Calibri" w:hAnsi="Arial" w:cs="Arial"/>
          <w:b/>
          <w:sz w:val="24"/>
          <w:szCs w:val="24"/>
          <w:lang w:val="en-US"/>
        </w:rPr>
        <w:t>.</w:t>
      </w:r>
      <w:r w:rsidRPr="00142AFB">
        <w:rPr>
          <w:rFonts w:ascii="Arial" w:eastAsia="Calibri" w:hAnsi="Arial" w:cs="Arial"/>
          <w:sz w:val="24"/>
          <w:szCs w:val="24"/>
          <w:lang w:val="en-US"/>
        </w:rPr>
        <w:t xml:space="preserve"> </w:t>
      </w:r>
      <w:r w:rsidR="00F809A1">
        <w:rPr>
          <w:rFonts w:ascii="Arial" w:eastAsia="Calibri" w:hAnsi="Arial" w:cs="Arial"/>
          <w:sz w:val="24"/>
          <w:szCs w:val="24"/>
          <w:lang w:val="en-US"/>
        </w:rPr>
        <w:t>Prevalence of HIV infection amongst non-meningitis invasive pneumococcal disease (nmIPD) and pneumococcal meningitis (PM) cases from GERMS-SA enhanced surveillance sites by age, 2005-2016, South Africa.</w:t>
      </w:r>
    </w:p>
    <w:p w14:paraId="0C0852E4" w14:textId="54A14B76" w:rsidR="00B940F2" w:rsidRDefault="00613FA3">
      <w:pPr>
        <w:rPr>
          <w:rStyle w:val="Hyperlink"/>
          <w:rFonts w:ascii="Arial" w:hAnsi="Arial" w:cs="Arial"/>
          <w:b/>
          <w:noProof/>
          <w:sz w:val="24"/>
          <w:szCs w:val="24"/>
          <w:lang w:val="en-US"/>
        </w:rPr>
      </w:pPr>
      <w:r>
        <w:rPr>
          <w:rStyle w:val="Hyperlink"/>
          <w:b/>
          <w:noProof/>
          <w:lang w:val="en-GB" w:eastAsia="en-GB"/>
        </w:rPr>
        <w:drawing>
          <wp:inline distT="0" distB="0" distL="0" distR="0" wp14:anchorId="15E8E993" wp14:editId="4B4296D5">
            <wp:extent cx="5925185" cy="39135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25185" cy="3913505"/>
                    </a:xfrm>
                    <a:prstGeom prst="rect">
                      <a:avLst/>
                    </a:prstGeom>
                    <a:noFill/>
                    <a:ln>
                      <a:noFill/>
                    </a:ln>
                  </pic:spPr>
                </pic:pic>
              </a:graphicData>
            </a:graphic>
          </wp:inline>
        </w:drawing>
      </w:r>
      <w:r w:rsidR="00B940F2">
        <w:rPr>
          <w:rStyle w:val="Hyperlink"/>
          <w:b/>
        </w:rPr>
        <w:br w:type="page"/>
      </w:r>
    </w:p>
    <w:p w14:paraId="6F59D9A9" w14:textId="7029BB6E" w:rsidR="00125C72" w:rsidRDefault="00561478" w:rsidP="00881F21">
      <w:pPr>
        <w:pStyle w:val="EndNoteBibliography"/>
        <w:spacing w:after="0" w:line="360" w:lineRule="auto"/>
        <w:rPr>
          <w:rStyle w:val="Hyperlink"/>
        </w:rPr>
      </w:pPr>
      <w:r>
        <w:rPr>
          <w:rStyle w:val="Hyperlink"/>
          <w:b/>
        </w:rPr>
        <w:lastRenderedPageBreak/>
        <w:t xml:space="preserve">Supplementary </w:t>
      </w:r>
      <w:r w:rsidR="00F16732">
        <w:rPr>
          <w:rStyle w:val="Hyperlink"/>
          <w:b/>
        </w:rPr>
        <w:t xml:space="preserve">Table </w:t>
      </w:r>
      <w:r w:rsidR="000F6EBC">
        <w:rPr>
          <w:rStyle w:val="Hyperlink"/>
          <w:b/>
        </w:rPr>
        <w:t>5</w:t>
      </w:r>
      <w:r w:rsidR="00F16732">
        <w:rPr>
          <w:rStyle w:val="Hyperlink"/>
          <w:b/>
        </w:rPr>
        <w:t>.</w:t>
      </w:r>
      <w:r w:rsidR="00F16732" w:rsidRPr="004D4C98">
        <w:rPr>
          <w:rStyle w:val="Hyperlink"/>
          <w:b/>
        </w:rPr>
        <w:t xml:space="preserve"> </w:t>
      </w:r>
      <w:r w:rsidR="00F16732" w:rsidRPr="00F16732">
        <w:rPr>
          <w:rStyle w:val="Hyperlink"/>
        </w:rPr>
        <w:t xml:space="preserve">Comparison of the characteristics of patients with pneumococcal meninigits (PM) and non-meningitis invasive pneumococcal diease (nmIPD) for the pre-PCV period (2005-2008). </w:t>
      </w:r>
    </w:p>
    <w:tbl>
      <w:tblPr>
        <w:tblW w:w="9072" w:type="dxa"/>
        <w:tblLook w:val="04A0" w:firstRow="1" w:lastRow="0" w:firstColumn="1" w:lastColumn="0" w:noHBand="0" w:noVBand="1"/>
      </w:tblPr>
      <w:tblGrid>
        <w:gridCol w:w="1418"/>
        <w:gridCol w:w="1621"/>
        <w:gridCol w:w="1651"/>
        <w:gridCol w:w="1547"/>
        <w:gridCol w:w="709"/>
        <w:gridCol w:w="1418"/>
        <w:gridCol w:w="708"/>
      </w:tblGrid>
      <w:tr w:rsidR="00DF78A5" w:rsidRPr="00DF78A5" w14:paraId="70DC2F99" w14:textId="77777777" w:rsidTr="00307721">
        <w:trPr>
          <w:trHeight w:val="300"/>
        </w:trPr>
        <w:tc>
          <w:tcPr>
            <w:tcW w:w="1418" w:type="dxa"/>
            <w:tcBorders>
              <w:top w:val="nil"/>
              <w:left w:val="nil"/>
              <w:right w:val="nil"/>
            </w:tcBorders>
            <w:shd w:val="clear" w:color="auto" w:fill="auto"/>
            <w:noWrap/>
            <w:vAlign w:val="center"/>
            <w:hideMark/>
          </w:tcPr>
          <w:p w14:paraId="0BF2AEA5" w14:textId="2907CC9E" w:rsidR="00DF78A5" w:rsidRPr="00DF78A5" w:rsidRDefault="00DF78A5" w:rsidP="00DF78A5">
            <w:pPr>
              <w:spacing w:after="0" w:line="240" w:lineRule="auto"/>
              <w:rPr>
                <w:rFonts w:ascii="Arial" w:eastAsia="Times New Roman" w:hAnsi="Arial" w:cs="Arial"/>
                <w:b/>
                <w:bCs/>
                <w:color w:val="000000"/>
                <w:sz w:val="16"/>
                <w:szCs w:val="16"/>
                <w:lang w:val="en-GB" w:eastAsia="en-GB"/>
              </w:rPr>
            </w:pPr>
          </w:p>
        </w:tc>
        <w:tc>
          <w:tcPr>
            <w:tcW w:w="1621" w:type="dxa"/>
            <w:tcBorders>
              <w:top w:val="nil"/>
              <w:left w:val="nil"/>
              <w:right w:val="nil"/>
            </w:tcBorders>
            <w:shd w:val="clear" w:color="auto" w:fill="auto"/>
            <w:noWrap/>
            <w:vAlign w:val="center"/>
            <w:hideMark/>
          </w:tcPr>
          <w:p w14:paraId="782294E1" w14:textId="77777777" w:rsidR="00DF78A5" w:rsidRPr="00DF78A5" w:rsidRDefault="00DF78A5" w:rsidP="00DF78A5">
            <w:pPr>
              <w:spacing w:after="0" w:line="240" w:lineRule="auto"/>
              <w:jc w:val="center"/>
              <w:rPr>
                <w:rFonts w:ascii="Arial" w:eastAsia="Times New Roman" w:hAnsi="Arial" w:cs="Arial"/>
                <w:b/>
                <w:bCs/>
                <w:color w:val="000000"/>
                <w:sz w:val="16"/>
                <w:szCs w:val="16"/>
                <w:lang w:val="en-GB" w:eastAsia="en-GB"/>
              </w:rPr>
            </w:pPr>
            <w:r w:rsidRPr="00DF78A5">
              <w:rPr>
                <w:rFonts w:ascii="Arial" w:eastAsia="Times New Roman" w:hAnsi="Arial" w:cs="Arial"/>
                <w:b/>
                <w:bCs/>
                <w:color w:val="000000"/>
                <w:sz w:val="16"/>
                <w:szCs w:val="16"/>
                <w:lang w:val="en-GB" w:eastAsia="en-GB"/>
              </w:rPr>
              <w:t>PM</w:t>
            </w:r>
          </w:p>
        </w:tc>
        <w:tc>
          <w:tcPr>
            <w:tcW w:w="1651" w:type="dxa"/>
            <w:tcBorders>
              <w:top w:val="nil"/>
              <w:left w:val="nil"/>
              <w:right w:val="single" w:sz="4" w:space="0" w:color="auto"/>
            </w:tcBorders>
            <w:shd w:val="clear" w:color="auto" w:fill="auto"/>
            <w:noWrap/>
            <w:vAlign w:val="center"/>
            <w:hideMark/>
          </w:tcPr>
          <w:p w14:paraId="61B66AA1" w14:textId="77777777" w:rsidR="00DF78A5" w:rsidRPr="00DF78A5" w:rsidRDefault="00DF78A5" w:rsidP="00DF78A5">
            <w:pPr>
              <w:spacing w:after="0" w:line="240" w:lineRule="auto"/>
              <w:jc w:val="center"/>
              <w:rPr>
                <w:rFonts w:ascii="Arial" w:eastAsia="Times New Roman" w:hAnsi="Arial" w:cs="Arial"/>
                <w:b/>
                <w:bCs/>
                <w:color w:val="000000"/>
                <w:sz w:val="16"/>
                <w:szCs w:val="16"/>
                <w:lang w:val="en-GB" w:eastAsia="en-GB"/>
              </w:rPr>
            </w:pPr>
            <w:r w:rsidRPr="00DF78A5">
              <w:rPr>
                <w:rFonts w:ascii="Arial" w:eastAsia="Times New Roman" w:hAnsi="Arial" w:cs="Arial"/>
                <w:b/>
                <w:bCs/>
                <w:color w:val="000000"/>
                <w:sz w:val="16"/>
                <w:szCs w:val="16"/>
                <w:lang w:val="en-GB" w:eastAsia="en-GB"/>
              </w:rPr>
              <w:t>nmIPD</w:t>
            </w:r>
          </w:p>
        </w:tc>
        <w:tc>
          <w:tcPr>
            <w:tcW w:w="1547" w:type="dxa"/>
            <w:tcBorders>
              <w:top w:val="nil"/>
              <w:left w:val="single" w:sz="4" w:space="0" w:color="auto"/>
              <w:right w:val="nil"/>
            </w:tcBorders>
            <w:shd w:val="clear" w:color="auto" w:fill="auto"/>
            <w:noWrap/>
            <w:vAlign w:val="center"/>
            <w:hideMark/>
          </w:tcPr>
          <w:p w14:paraId="2E259C19" w14:textId="77777777" w:rsidR="00DF78A5" w:rsidRPr="00DF78A5" w:rsidRDefault="00DF78A5" w:rsidP="00DF78A5">
            <w:pPr>
              <w:spacing w:after="0" w:line="240" w:lineRule="auto"/>
              <w:jc w:val="center"/>
              <w:rPr>
                <w:rFonts w:ascii="Arial" w:eastAsia="Times New Roman" w:hAnsi="Arial" w:cs="Arial"/>
                <w:b/>
                <w:bCs/>
                <w:color w:val="000000"/>
                <w:sz w:val="16"/>
                <w:szCs w:val="16"/>
                <w:lang w:val="en-GB" w:eastAsia="en-GB"/>
              </w:rPr>
            </w:pPr>
            <w:r w:rsidRPr="00DF78A5">
              <w:rPr>
                <w:rFonts w:ascii="Arial" w:eastAsia="Times New Roman" w:hAnsi="Arial" w:cs="Arial"/>
                <w:b/>
                <w:bCs/>
                <w:color w:val="000000"/>
                <w:sz w:val="16"/>
                <w:szCs w:val="16"/>
                <w:lang w:val="en-GB" w:eastAsia="en-GB"/>
              </w:rPr>
              <w:t>Univariate analysis</w:t>
            </w:r>
          </w:p>
        </w:tc>
        <w:tc>
          <w:tcPr>
            <w:tcW w:w="709" w:type="dxa"/>
            <w:tcBorders>
              <w:top w:val="nil"/>
              <w:left w:val="nil"/>
              <w:right w:val="single" w:sz="4" w:space="0" w:color="auto"/>
            </w:tcBorders>
            <w:shd w:val="clear" w:color="auto" w:fill="auto"/>
            <w:noWrap/>
            <w:vAlign w:val="center"/>
            <w:hideMark/>
          </w:tcPr>
          <w:p w14:paraId="73E23D5A" w14:textId="2B4182A5" w:rsidR="00DF78A5" w:rsidRPr="00DF78A5" w:rsidRDefault="00DF78A5" w:rsidP="00DF78A5">
            <w:pPr>
              <w:spacing w:after="0" w:line="240" w:lineRule="auto"/>
              <w:jc w:val="center"/>
              <w:rPr>
                <w:rFonts w:ascii="Arial" w:eastAsia="Times New Roman" w:hAnsi="Arial" w:cs="Arial"/>
                <w:b/>
                <w:bCs/>
                <w:color w:val="000000"/>
                <w:sz w:val="16"/>
                <w:szCs w:val="16"/>
                <w:lang w:val="en-GB" w:eastAsia="en-GB"/>
              </w:rPr>
            </w:pPr>
          </w:p>
        </w:tc>
        <w:tc>
          <w:tcPr>
            <w:tcW w:w="1418" w:type="dxa"/>
            <w:tcBorders>
              <w:top w:val="nil"/>
              <w:left w:val="single" w:sz="4" w:space="0" w:color="auto"/>
              <w:right w:val="nil"/>
            </w:tcBorders>
            <w:shd w:val="clear" w:color="auto" w:fill="auto"/>
            <w:noWrap/>
            <w:vAlign w:val="center"/>
            <w:hideMark/>
          </w:tcPr>
          <w:p w14:paraId="49589078" w14:textId="1A038433" w:rsidR="00DF78A5" w:rsidRPr="00DF78A5" w:rsidRDefault="00DF78A5" w:rsidP="00DE007A">
            <w:pPr>
              <w:spacing w:after="0" w:line="240" w:lineRule="auto"/>
              <w:jc w:val="center"/>
              <w:rPr>
                <w:rFonts w:ascii="Arial" w:eastAsia="Times New Roman" w:hAnsi="Arial" w:cs="Arial"/>
                <w:b/>
                <w:bCs/>
                <w:color w:val="000000"/>
                <w:sz w:val="16"/>
                <w:szCs w:val="16"/>
                <w:lang w:val="en-GB" w:eastAsia="en-GB"/>
              </w:rPr>
            </w:pPr>
            <w:r w:rsidRPr="00DF78A5">
              <w:rPr>
                <w:rFonts w:ascii="Arial" w:eastAsia="Times New Roman" w:hAnsi="Arial" w:cs="Arial"/>
                <w:b/>
                <w:bCs/>
                <w:color w:val="000000"/>
                <w:sz w:val="16"/>
                <w:szCs w:val="16"/>
                <w:lang w:val="en-GB" w:eastAsia="en-GB"/>
              </w:rPr>
              <w:t>Multivaria</w:t>
            </w:r>
            <w:r w:rsidR="00DE007A">
              <w:rPr>
                <w:rFonts w:ascii="Arial" w:eastAsia="Times New Roman" w:hAnsi="Arial" w:cs="Arial"/>
                <w:b/>
                <w:bCs/>
                <w:color w:val="000000"/>
                <w:sz w:val="16"/>
                <w:szCs w:val="16"/>
                <w:lang w:val="en-GB" w:eastAsia="en-GB"/>
              </w:rPr>
              <w:t>bl</w:t>
            </w:r>
            <w:r w:rsidRPr="00DF78A5">
              <w:rPr>
                <w:rFonts w:ascii="Arial" w:eastAsia="Times New Roman" w:hAnsi="Arial" w:cs="Arial"/>
                <w:b/>
                <w:bCs/>
                <w:color w:val="000000"/>
                <w:sz w:val="16"/>
                <w:szCs w:val="16"/>
                <w:lang w:val="en-GB" w:eastAsia="en-GB"/>
              </w:rPr>
              <w:t>e analysis</w:t>
            </w:r>
          </w:p>
        </w:tc>
        <w:tc>
          <w:tcPr>
            <w:tcW w:w="708" w:type="dxa"/>
            <w:tcBorders>
              <w:top w:val="nil"/>
              <w:left w:val="nil"/>
              <w:right w:val="single" w:sz="4" w:space="0" w:color="auto"/>
            </w:tcBorders>
            <w:shd w:val="clear" w:color="auto" w:fill="auto"/>
            <w:noWrap/>
            <w:vAlign w:val="center"/>
            <w:hideMark/>
          </w:tcPr>
          <w:p w14:paraId="65AB1F49" w14:textId="0B3DC518" w:rsidR="00DF78A5" w:rsidRPr="00DF78A5" w:rsidRDefault="00DF78A5" w:rsidP="00DF78A5">
            <w:pPr>
              <w:spacing w:after="0" w:line="240" w:lineRule="auto"/>
              <w:jc w:val="center"/>
              <w:rPr>
                <w:rFonts w:ascii="Arial" w:eastAsia="Times New Roman" w:hAnsi="Arial" w:cs="Arial"/>
                <w:b/>
                <w:bCs/>
                <w:color w:val="000000"/>
                <w:sz w:val="16"/>
                <w:szCs w:val="16"/>
                <w:lang w:val="en-GB" w:eastAsia="en-GB"/>
              </w:rPr>
            </w:pPr>
          </w:p>
        </w:tc>
      </w:tr>
      <w:tr w:rsidR="00DF78A5" w:rsidRPr="00DF78A5" w14:paraId="559BC532" w14:textId="77777777" w:rsidTr="00307721">
        <w:trPr>
          <w:trHeight w:val="300"/>
        </w:trPr>
        <w:tc>
          <w:tcPr>
            <w:tcW w:w="1418" w:type="dxa"/>
            <w:tcBorders>
              <w:top w:val="nil"/>
              <w:left w:val="nil"/>
              <w:bottom w:val="single" w:sz="4" w:space="0" w:color="auto"/>
              <w:right w:val="nil"/>
            </w:tcBorders>
            <w:shd w:val="clear" w:color="auto" w:fill="auto"/>
            <w:noWrap/>
            <w:vAlign w:val="center"/>
            <w:hideMark/>
          </w:tcPr>
          <w:p w14:paraId="4A1AF8FE" w14:textId="77777777" w:rsidR="00DF78A5" w:rsidRPr="00DF78A5" w:rsidRDefault="00DF78A5" w:rsidP="00DF78A5">
            <w:pPr>
              <w:spacing w:after="0" w:line="240" w:lineRule="auto"/>
              <w:rPr>
                <w:rFonts w:ascii="Arial" w:eastAsia="Times New Roman" w:hAnsi="Arial" w:cs="Arial"/>
                <w:b/>
                <w:bCs/>
                <w:color w:val="000000"/>
                <w:sz w:val="16"/>
                <w:szCs w:val="16"/>
                <w:lang w:val="en-GB" w:eastAsia="en-GB"/>
              </w:rPr>
            </w:pPr>
            <w:r w:rsidRPr="00DF78A5">
              <w:rPr>
                <w:rFonts w:ascii="Arial" w:eastAsia="Times New Roman" w:hAnsi="Arial" w:cs="Arial"/>
                <w:b/>
                <w:bCs/>
                <w:color w:val="000000"/>
                <w:sz w:val="16"/>
                <w:szCs w:val="16"/>
                <w:lang w:val="en-GB" w:eastAsia="en-GB"/>
              </w:rPr>
              <w:t>Variable</w:t>
            </w:r>
          </w:p>
        </w:tc>
        <w:tc>
          <w:tcPr>
            <w:tcW w:w="1621" w:type="dxa"/>
            <w:tcBorders>
              <w:top w:val="nil"/>
              <w:left w:val="nil"/>
              <w:bottom w:val="single" w:sz="4" w:space="0" w:color="auto"/>
              <w:right w:val="nil"/>
            </w:tcBorders>
            <w:shd w:val="clear" w:color="auto" w:fill="auto"/>
            <w:noWrap/>
            <w:vAlign w:val="center"/>
            <w:hideMark/>
          </w:tcPr>
          <w:p w14:paraId="07CEFE38" w14:textId="77777777" w:rsidR="00DF78A5" w:rsidRPr="00DF78A5" w:rsidRDefault="00DF78A5" w:rsidP="00DF78A5">
            <w:pPr>
              <w:spacing w:after="0" w:line="240" w:lineRule="auto"/>
              <w:jc w:val="center"/>
              <w:rPr>
                <w:rFonts w:ascii="Arial" w:eastAsia="Times New Roman" w:hAnsi="Arial" w:cs="Arial"/>
                <w:b/>
                <w:bCs/>
                <w:color w:val="000000"/>
                <w:sz w:val="16"/>
                <w:szCs w:val="16"/>
                <w:lang w:val="en-GB" w:eastAsia="en-GB"/>
              </w:rPr>
            </w:pPr>
            <w:r w:rsidRPr="00DF78A5">
              <w:rPr>
                <w:rFonts w:ascii="Arial" w:eastAsia="Times New Roman" w:hAnsi="Arial" w:cs="Arial"/>
                <w:b/>
                <w:bCs/>
                <w:color w:val="000000"/>
                <w:sz w:val="16"/>
                <w:szCs w:val="16"/>
                <w:lang w:val="en-GB" w:eastAsia="en-GB"/>
              </w:rPr>
              <w:t>n/N (%)</w:t>
            </w:r>
          </w:p>
        </w:tc>
        <w:tc>
          <w:tcPr>
            <w:tcW w:w="1651" w:type="dxa"/>
            <w:tcBorders>
              <w:top w:val="nil"/>
              <w:left w:val="nil"/>
              <w:bottom w:val="single" w:sz="4" w:space="0" w:color="auto"/>
              <w:right w:val="single" w:sz="4" w:space="0" w:color="auto"/>
            </w:tcBorders>
            <w:shd w:val="clear" w:color="auto" w:fill="auto"/>
            <w:noWrap/>
            <w:vAlign w:val="center"/>
            <w:hideMark/>
          </w:tcPr>
          <w:p w14:paraId="2AFB6AEF" w14:textId="77777777" w:rsidR="00DF78A5" w:rsidRPr="00DF78A5" w:rsidRDefault="00DF78A5" w:rsidP="00DF78A5">
            <w:pPr>
              <w:spacing w:after="0" w:line="240" w:lineRule="auto"/>
              <w:jc w:val="center"/>
              <w:rPr>
                <w:rFonts w:ascii="Arial" w:eastAsia="Times New Roman" w:hAnsi="Arial" w:cs="Arial"/>
                <w:b/>
                <w:bCs/>
                <w:color w:val="000000"/>
                <w:sz w:val="16"/>
                <w:szCs w:val="16"/>
                <w:lang w:val="en-GB" w:eastAsia="en-GB"/>
              </w:rPr>
            </w:pPr>
            <w:r w:rsidRPr="00DF78A5">
              <w:rPr>
                <w:rFonts w:ascii="Arial" w:eastAsia="Times New Roman" w:hAnsi="Arial" w:cs="Arial"/>
                <w:b/>
                <w:bCs/>
                <w:color w:val="000000"/>
                <w:sz w:val="16"/>
                <w:szCs w:val="16"/>
                <w:lang w:val="en-GB" w:eastAsia="en-GB"/>
              </w:rPr>
              <w:t>n/N (%)</w:t>
            </w:r>
          </w:p>
        </w:tc>
        <w:tc>
          <w:tcPr>
            <w:tcW w:w="1547" w:type="dxa"/>
            <w:tcBorders>
              <w:top w:val="nil"/>
              <w:left w:val="single" w:sz="4" w:space="0" w:color="auto"/>
              <w:bottom w:val="single" w:sz="4" w:space="0" w:color="auto"/>
              <w:right w:val="nil"/>
            </w:tcBorders>
            <w:shd w:val="clear" w:color="auto" w:fill="auto"/>
            <w:noWrap/>
            <w:vAlign w:val="center"/>
            <w:hideMark/>
          </w:tcPr>
          <w:p w14:paraId="0A421C55" w14:textId="77777777" w:rsidR="00DF78A5" w:rsidRPr="00DF78A5" w:rsidRDefault="00DF78A5" w:rsidP="00DF78A5">
            <w:pPr>
              <w:spacing w:after="0" w:line="240" w:lineRule="auto"/>
              <w:jc w:val="center"/>
              <w:rPr>
                <w:rFonts w:ascii="Arial" w:eastAsia="Times New Roman" w:hAnsi="Arial" w:cs="Arial"/>
                <w:b/>
                <w:bCs/>
                <w:color w:val="000000"/>
                <w:sz w:val="16"/>
                <w:szCs w:val="16"/>
                <w:lang w:val="en-GB" w:eastAsia="en-GB"/>
              </w:rPr>
            </w:pPr>
            <w:r w:rsidRPr="00DF78A5">
              <w:rPr>
                <w:rFonts w:ascii="Arial" w:eastAsia="Times New Roman" w:hAnsi="Arial" w:cs="Arial"/>
                <w:b/>
                <w:bCs/>
                <w:color w:val="000000"/>
                <w:sz w:val="16"/>
                <w:szCs w:val="16"/>
                <w:lang w:val="en-GB" w:eastAsia="en-GB"/>
              </w:rPr>
              <w:t>OR (95% CI)</w:t>
            </w:r>
          </w:p>
        </w:tc>
        <w:tc>
          <w:tcPr>
            <w:tcW w:w="709" w:type="dxa"/>
            <w:tcBorders>
              <w:top w:val="nil"/>
              <w:left w:val="nil"/>
              <w:bottom w:val="single" w:sz="4" w:space="0" w:color="auto"/>
              <w:right w:val="single" w:sz="4" w:space="0" w:color="auto"/>
            </w:tcBorders>
            <w:shd w:val="clear" w:color="auto" w:fill="auto"/>
            <w:noWrap/>
            <w:vAlign w:val="center"/>
            <w:hideMark/>
          </w:tcPr>
          <w:p w14:paraId="2545A3A0" w14:textId="77777777" w:rsidR="00DF78A5" w:rsidRPr="00DF78A5" w:rsidRDefault="00DF78A5" w:rsidP="00DF78A5">
            <w:pPr>
              <w:spacing w:after="0" w:line="240" w:lineRule="auto"/>
              <w:jc w:val="center"/>
              <w:rPr>
                <w:rFonts w:ascii="Arial" w:eastAsia="Times New Roman" w:hAnsi="Arial" w:cs="Arial"/>
                <w:b/>
                <w:bCs/>
                <w:color w:val="000000"/>
                <w:sz w:val="16"/>
                <w:szCs w:val="16"/>
                <w:lang w:val="en-GB" w:eastAsia="en-GB"/>
              </w:rPr>
            </w:pPr>
            <w:r w:rsidRPr="00DF78A5">
              <w:rPr>
                <w:rFonts w:ascii="Arial" w:eastAsia="Times New Roman" w:hAnsi="Arial" w:cs="Arial"/>
                <w:b/>
                <w:bCs/>
                <w:color w:val="000000"/>
                <w:sz w:val="16"/>
                <w:szCs w:val="16"/>
                <w:lang w:val="en-GB" w:eastAsia="en-GB"/>
              </w:rPr>
              <w:t>p-value</w:t>
            </w:r>
          </w:p>
        </w:tc>
        <w:tc>
          <w:tcPr>
            <w:tcW w:w="1418" w:type="dxa"/>
            <w:tcBorders>
              <w:top w:val="nil"/>
              <w:left w:val="single" w:sz="4" w:space="0" w:color="auto"/>
              <w:bottom w:val="single" w:sz="4" w:space="0" w:color="auto"/>
              <w:right w:val="nil"/>
            </w:tcBorders>
            <w:shd w:val="clear" w:color="auto" w:fill="auto"/>
            <w:noWrap/>
            <w:vAlign w:val="center"/>
            <w:hideMark/>
          </w:tcPr>
          <w:p w14:paraId="7BA2F42F" w14:textId="336CB63A" w:rsidR="00DF78A5" w:rsidRPr="00DF78A5" w:rsidRDefault="00EF0307" w:rsidP="00DF78A5">
            <w:pPr>
              <w:spacing w:after="0" w:line="240" w:lineRule="auto"/>
              <w:jc w:val="center"/>
              <w:rPr>
                <w:rFonts w:ascii="Arial" w:eastAsia="Times New Roman" w:hAnsi="Arial" w:cs="Arial"/>
                <w:b/>
                <w:bCs/>
                <w:color w:val="000000"/>
                <w:sz w:val="16"/>
                <w:szCs w:val="16"/>
                <w:lang w:val="en-GB" w:eastAsia="en-GB"/>
              </w:rPr>
            </w:pPr>
            <w:r>
              <w:rPr>
                <w:rFonts w:ascii="Arial" w:eastAsia="Times New Roman" w:hAnsi="Arial" w:cs="Arial"/>
                <w:b/>
                <w:bCs/>
                <w:color w:val="000000"/>
                <w:sz w:val="16"/>
                <w:szCs w:val="16"/>
                <w:lang w:val="en-GB" w:eastAsia="en-GB"/>
              </w:rPr>
              <w:t>a</w:t>
            </w:r>
            <w:r w:rsidR="00DF78A5" w:rsidRPr="00DF78A5">
              <w:rPr>
                <w:rFonts w:ascii="Arial" w:eastAsia="Times New Roman" w:hAnsi="Arial" w:cs="Arial"/>
                <w:b/>
                <w:bCs/>
                <w:color w:val="000000"/>
                <w:sz w:val="16"/>
                <w:szCs w:val="16"/>
                <w:lang w:val="en-GB" w:eastAsia="en-GB"/>
              </w:rPr>
              <w:t>OR (95% CI)</w:t>
            </w:r>
          </w:p>
        </w:tc>
        <w:tc>
          <w:tcPr>
            <w:tcW w:w="708" w:type="dxa"/>
            <w:tcBorders>
              <w:top w:val="nil"/>
              <w:left w:val="nil"/>
              <w:bottom w:val="single" w:sz="4" w:space="0" w:color="auto"/>
              <w:right w:val="single" w:sz="4" w:space="0" w:color="auto"/>
            </w:tcBorders>
            <w:shd w:val="clear" w:color="auto" w:fill="auto"/>
            <w:noWrap/>
            <w:vAlign w:val="center"/>
            <w:hideMark/>
          </w:tcPr>
          <w:p w14:paraId="357E9EB8" w14:textId="77777777" w:rsidR="00DF78A5" w:rsidRPr="00DF78A5" w:rsidRDefault="00DF78A5" w:rsidP="00DF78A5">
            <w:pPr>
              <w:spacing w:after="0" w:line="240" w:lineRule="auto"/>
              <w:jc w:val="center"/>
              <w:rPr>
                <w:rFonts w:ascii="Arial" w:eastAsia="Times New Roman" w:hAnsi="Arial" w:cs="Arial"/>
                <w:b/>
                <w:bCs/>
                <w:color w:val="000000"/>
                <w:sz w:val="16"/>
                <w:szCs w:val="16"/>
                <w:lang w:val="en-GB" w:eastAsia="en-GB"/>
              </w:rPr>
            </w:pPr>
            <w:r w:rsidRPr="00DF78A5">
              <w:rPr>
                <w:rFonts w:ascii="Arial" w:eastAsia="Times New Roman" w:hAnsi="Arial" w:cs="Arial"/>
                <w:b/>
                <w:bCs/>
                <w:color w:val="000000"/>
                <w:sz w:val="16"/>
                <w:szCs w:val="16"/>
                <w:lang w:val="en-GB" w:eastAsia="en-GB"/>
              </w:rPr>
              <w:t>p-value</w:t>
            </w:r>
          </w:p>
        </w:tc>
      </w:tr>
      <w:tr w:rsidR="00DF78A5" w:rsidRPr="00DF78A5" w14:paraId="0D5358E1" w14:textId="77777777" w:rsidTr="00307721">
        <w:trPr>
          <w:trHeight w:val="300"/>
        </w:trPr>
        <w:tc>
          <w:tcPr>
            <w:tcW w:w="1418" w:type="dxa"/>
            <w:tcBorders>
              <w:top w:val="single" w:sz="4" w:space="0" w:color="auto"/>
              <w:left w:val="nil"/>
              <w:bottom w:val="nil"/>
              <w:right w:val="nil"/>
            </w:tcBorders>
            <w:shd w:val="clear" w:color="auto" w:fill="auto"/>
            <w:noWrap/>
            <w:vAlign w:val="center"/>
            <w:hideMark/>
          </w:tcPr>
          <w:p w14:paraId="53E8EC86" w14:textId="641F8AE7" w:rsidR="00DF78A5" w:rsidRPr="00DF78A5" w:rsidRDefault="00DF78A5" w:rsidP="00DF78A5">
            <w:pPr>
              <w:spacing w:after="0" w:line="240" w:lineRule="auto"/>
              <w:rPr>
                <w:rFonts w:ascii="Arial" w:eastAsia="Times New Roman" w:hAnsi="Arial" w:cs="Arial"/>
                <w:b/>
                <w:bCs/>
                <w:color w:val="000000"/>
                <w:sz w:val="16"/>
                <w:szCs w:val="16"/>
                <w:lang w:val="en-GB" w:eastAsia="en-GB"/>
              </w:rPr>
            </w:pPr>
            <w:r w:rsidRPr="00DF78A5">
              <w:rPr>
                <w:rFonts w:ascii="Arial" w:eastAsia="Times New Roman" w:hAnsi="Arial" w:cs="Arial"/>
                <w:b/>
                <w:bCs/>
                <w:color w:val="000000"/>
                <w:sz w:val="16"/>
                <w:szCs w:val="16"/>
                <w:lang w:val="en-GB" w:eastAsia="en-GB"/>
              </w:rPr>
              <w:t>Se</w:t>
            </w:r>
            <w:r>
              <w:rPr>
                <w:rFonts w:ascii="Arial" w:eastAsia="Times New Roman" w:hAnsi="Arial" w:cs="Arial"/>
                <w:b/>
                <w:bCs/>
                <w:color w:val="000000"/>
                <w:sz w:val="16"/>
                <w:szCs w:val="16"/>
                <w:lang w:val="en-GB" w:eastAsia="en-GB"/>
              </w:rPr>
              <w:t>x</w:t>
            </w:r>
            <w:r w:rsidRPr="00DF78A5">
              <w:rPr>
                <w:rFonts w:ascii="Arial" w:eastAsia="Times New Roman" w:hAnsi="Arial" w:cs="Arial"/>
                <w:b/>
                <w:bCs/>
                <w:color w:val="000000"/>
                <w:sz w:val="16"/>
                <w:szCs w:val="16"/>
                <w:lang w:val="en-GB" w:eastAsia="en-GB"/>
              </w:rPr>
              <w:t xml:space="preserve"> (N=8,773)</w:t>
            </w:r>
          </w:p>
        </w:tc>
        <w:tc>
          <w:tcPr>
            <w:tcW w:w="1621" w:type="dxa"/>
            <w:tcBorders>
              <w:top w:val="single" w:sz="4" w:space="0" w:color="auto"/>
              <w:left w:val="nil"/>
              <w:bottom w:val="nil"/>
              <w:right w:val="nil"/>
            </w:tcBorders>
            <w:shd w:val="clear" w:color="auto" w:fill="auto"/>
            <w:noWrap/>
            <w:vAlign w:val="center"/>
            <w:hideMark/>
          </w:tcPr>
          <w:p w14:paraId="29C6B6F5" w14:textId="4297CB97"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p>
        </w:tc>
        <w:tc>
          <w:tcPr>
            <w:tcW w:w="1651" w:type="dxa"/>
            <w:tcBorders>
              <w:top w:val="single" w:sz="4" w:space="0" w:color="auto"/>
              <w:left w:val="nil"/>
              <w:bottom w:val="nil"/>
              <w:right w:val="single" w:sz="4" w:space="0" w:color="auto"/>
            </w:tcBorders>
            <w:shd w:val="clear" w:color="auto" w:fill="auto"/>
            <w:noWrap/>
            <w:vAlign w:val="center"/>
            <w:hideMark/>
          </w:tcPr>
          <w:p w14:paraId="4765AC85" w14:textId="546A28FC"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p>
        </w:tc>
        <w:tc>
          <w:tcPr>
            <w:tcW w:w="1547" w:type="dxa"/>
            <w:tcBorders>
              <w:top w:val="single" w:sz="4" w:space="0" w:color="auto"/>
              <w:left w:val="single" w:sz="4" w:space="0" w:color="auto"/>
              <w:bottom w:val="nil"/>
              <w:right w:val="nil"/>
            </w:tcBorders>
            <w:shd w:val="clear" w:color="auto" w:fill="auto"/>
            <w:noWrap/>
            <w:vAlign w:val="center"/>
            <w:hideMark/>
          </w:tcPr>
          <w:p w14:paraId="22984A27" w14:textId="07B3302E"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p>
        </w:tc>
        <w:tc>
          <w:tcPr>
            <w:tcW w:w="709" w:type="dxa"/>
            <w:tcBorders>
              <w:top w:val="single" w:sz="4" w:space="0" w:color="auto"/>
              <w:left w:val="nil"/>
              <w:bottom w:val="nil"/>
              <w:right w:val="single" w:sz="4" w:space="0" w:color="auto"/>
            </w:tcBorders>
            <w:shd w:val="clear" w:color="auto" w:fill="auto"/>
            <w:noWrap/>
            <w:vAlign w:val="center"/>
            <w:hideMark/>
          </w:tcPr>
          <w:p w14:paraId="476179DB" w14:textId="004C0605"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p>
        </w:tc>
        <w:tc>
          <w:tcPr>
            <w:tcW w:w="1418" w:type="dxa"/>
            <w:tcBorders>
              <w:top w:val="single" w:sz="4" w:space="0" w:color="auto"/>
              <w:left w:val="single" w:sz="4" w:space="0" w:color="auto"/>
              <w:bottom w:val="nil"/>
              <w:right w:val="nil"/>
            </w:tcBorders>
            <w:shd w:val="clear" w:color="auto" w:fill="auto"/>
            <w:noWrap/>
            <w:vAlign w:val="center"/>
            <w:hideMark/>
          </w:tcPr>
          <w:p w14:paraId="018CAF8A" w14:textId="7F8F8EDB"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p>
        </w:tc>
        <w:tc>
          <w:tcPr>
            <w:tcW w:w="708" w:type="dxa"/>
            <w:tcBorders>
              <w:top w:val="single" w:sz="4" w:space="0" w:color="auto"/>
              <w:left w:val="nil"/>
              <w:bottom w:val="nil"/>
              <w:right w:val="single" w:sz="4" w:space="0" w:color="auto"/>
            </w:tcBorders>
            <w:shd w:val="clear" w:color="auto" w:fill="auto"/>
            <w:noWrap/>
            <w:vAlign w:val="center"/>
            <w:hideMark/>
          </w:tcPr>
          <w:p w14:paraId="0D36E09B" w14:textId="41686BBC"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p>
        </w:tc>
      </w:tr>
      <w:tr w:rsidR="00DF78A5" w:rsidRPr="00DF78A5" w14:paraId="76BF730F" w14:textId="77777777" w:rsidTr="00307721">
        <w:trPr>
          <w:trHeight w:val="300"/>
        </w:trPr>
        <w:tc>
          <w:tcPr>
            <w:tcW w:w="1418" w:type="dxa"/>
            <w:tcBorders>
              <w:top w:val="nil"/>
              <w:left w:val="nil"/>
              <w:bottom w:val="nil"/>
              <w:right w:val="nil"/>
            </w:tcBorders>
            <w:shd w:val="clear" w:color="auto" w:fill="auto"/>
            <w:noWrap/>
            <w:vAlign w:val="center"/>
            <w:hideMark/>
          </w:tcPr>
          <w:p w14:paraId="5185620D" w14:textId="77777777" w:rsidR="00DF78A5" w:rsidRPr="00DF78A5" w:rsidRDefault="00DF78A5" w:rsidP="00DF78A5">
            <w:pPr>
              <w:spacing w:after="0" w:line="240" w:lineRule="auto"/>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 xml:space="preserve">  Female </w:t>
            </w:r>
          </w:p>
        </w:tc>
        <w:tc>
          <w:tcPr>
            <w:tcW w:w="1621" w:type="dxa"/>
            <w:tcBorders>
              <w:top w:val="nil"/>
              <w:left w:val="nil"/>
              <w:bottom w:val="nil"/>
              <w:right w:val="nil"/>
            </w:tcBorders>
            <w:shd w:val="clear" w:color="auto" w:fill="auto"/>
            <w:noWrap/>
            <w:vAlign w:val="center"/>
            <w:hideMark/>
          </w:tcPr>
          <w:p w14:paraId="050F78A9" w14:textId="0659E803"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1,151</w:t>
            </w:r>
            <w:r w:rsidR="00EF0307">
              <w:rPr>
                <w:rFonts w:ascii="Arial" w:eastAsia="Times New Roman" w:hAnsi="Arial" w:cs="Arial"/>
                <w:color w:val="000000"/>
                <w:sz w:val="16"/>
                <w:szCs w:val="16"/>
                <w:lang w:val="en-GB" w:eastAsia="en-GB"/>
              </w:rPr>
              <w:t>/2,214 (52</w:t>
            </w:r>
            <w:r w:rsidRPr="00DF78A5">
              <w:rPr>
                <w:rFonts w:ascii="Arial" w:eastAsia="Times New Roman" w:hAnsi="Arial" w:cs="Arial"/>
                <w:color w:val="000000"/>
                <w:sz w:val="16"/>
                <w:szCs w:val="16"/>
                <w:lang w:val="en-GB" w:eastAsia="en-GB"/>
              </w:rPr>
              <w:t>)</w:t>
            </w:r>
          </w:p>
        </w:tc>
        <w:tc>
          <w:tcPr>
            <w:tcW w:w="1651" w:type="dxa"/>
            <w:tcBorders>
              <w:top w:val="nil"/>
              <w:left w:val="nil"/>
              <w:bottom w:val="nil"/>
              <w:right w:val="single" w:sz="4" w:space="0" w:color="auto"/>
            </w:tcBorders>
            <w:shd w:val="clear" w:color="auto" w:fill="auto"/>
            <w:noWrap/>
            <w:vAlign w:val="center"/>
            <w:hideMark/>
          </w:tcPr>
          <w:p w14:paraId="3D94A4CA" w14:textId="19F249BD" w:rsidR="00DF78A5" w:rsidRPr="00DF78A5" w:rsidRDefault="00EF0307"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3,301/6,559 (50</w:t>
            </w:r>
            <w:r w:rsidR="00DF78A5" w:rsidRPr="00DF78A5">
              <w:rPr>
                <w:rFonts w:ascii="Arial" w:eastAsia="Times New Roman" w:hAnsi="Arial" w:cs="Arial"/>
                <w:color w:val="000000"/>
                <w:sz w:val="16"/>
                <w:szCs w:val="16"/>
                <w:lang w:val="en-GB" w:eastAsia="en-GB"/>
              </w:rPr>
              <w:t>)</w:t>
            </w:r>
          </w:p>
        </w:tc>
        <w:tc>
          <w:tcPr>
            <w:tcW w:w="1547" w:type="dxa"/>
            <w:tcBorders>
              <w:top w:val="nil"/>
              <w:left w:val="single" w:sz="4" w:space="0" w:color="auto"/>
              <w:bottom w:val="nil"/>
              <w:right w:val="nil"/>
            </w:tcBorders>
            <w:shd w:val="clear" w:color="auto" w:fill="auto"/>
            <w:noWrap/>
            <w:vAlign w:val="center"/>
            <w:hideMark/>
          </w:tcPr>
          <w:p w14:paraId="0A82B878" w14:textId="77777777"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1.1 (1.0-1.2)</w:t>
            </w:r>
          </w:p>
        </w:tc>
        <w:tc>
          <w:tcPr>
            <w:tcW w:w="709" w:type="dxa"/>
            <w:tcBorders>
              <w:top w:val="nil"/>
              <w:left w:val="nil"/>
              <w:bottom w:val="nil"/>
              <w:right w:val="single" w:sz="4" w:space="0" w:color="auto"/>
            </w:tcBorders>
            <w:shd w:val="clear" w:color="auto" w:fill="auto"/>
            <w:noWrap/>
            <w:vAlign w:val="center"/>
            <w:hideMark/>
          </w:tcPr>
          <w:p w14:paraId="53EB9A53" w14:textId="77777777"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0.05</w:t>
            </w:r>
          </w:p>
        </w:tc>
        <w:tc>
          <w:tcPr>
            <w:tcW w:w="1418" w:type="dxa"/>
            <w:tcBorders>
              <w:top w:val="nil"/>
              <w:left w:val="single" w:sz="4" w:space="0" w:color="auto"/>
              <w:bottom w:val="nil"/>
              <w:right w:val="nil"/>
            </w:tcBorders>
            <w:shd w:val="clear" w:color="auto" w:fill="auto"/>
            <w:noWrap/>
            <w:vAlign w:val="center"/>
            <w:hideMark/>
          </w:tcPr>
          <w:p w14:paraId="108C4DFA" w14:textId="2204FAB0"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w:t>
            </w:r>
          </w:p>
        </w:tc>
        <w:tc>
          <w:tcPr>
            <w:tcW w:w="708" w:type="dxa"/>
            <w:tcBorders>
              <w:top w:val="nil"/>
              <w:left w:val="nil"/>
              <w:bottom w:val="nil"/>
              <w:right w:val="single" w:sz="4" w:space="0" w:color="auto"/>
            </w:tcBorders>
            <w:shd w:val="clear" w:color="auto" w:fill="auto"/>
            <w:noWrap/>
            <w:vAlign w:val="center"/>
            <w:hideMark/>
          </w:tcPr>
          <w:p w14:paraId="719831E8" w14:textId="161E3440"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w:t>
            </w:r>
          </w:p>
        </w:tc>
      </w:tr>
      <w:tr w:rsidR="00DF78A5" w:rsidRPr="00DF78A5" w14:paraId="7A31DE91" w14:textId="77777777" w:rsidTr="00307721">
        <w:trPr>
          <w:trHeight w:val="300"/>
        </w:trPr>
        <w:tc>
          <w:tcPr>
            <w:tcW w:w="1418" w:type="dxa"/>
            <w:tcBorders>
              <w:top w:val="nil"/>
              <w:left w:val="nil"/>
              <w:bottom w:val="nil"/>
              <w:right w:val="nil"/>
            </w:tcBorders>
            <w:shd w:val="clear" w:color="auto" w:fill="auto"/>
            <w:noWrap/>
            <w:vAlign w:val="center"/>
            <w:hideMark/>
          </w:tcPr>
          <w:p w14:paraId="29AE084D" w14:textId="77777777" w:rsidR="00DF78A5" w:rsidRPr="00DF78A5" w:rsidRDefault="00DF78A5" w:rsidP="00DF78A5">
            <w:pPr>
              <w:spacing w:after="0" w:line="240" w:lineRule="auto"/>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 xml:space="preserve">  Male</w:t>
            </w:r>
          </w:p>
        </w:tc>
        <w:tc>
          <w:tcPr>
            <w:tcW w:w="1621" w:type="dxa"/>
            <w:tcBorders>
              <w:top w:val="nil"/>
              <w:left w:val="nil"/>
              <w:bottom w:val="nil"/>
              <w:right w:val="nil"/>
            </w:tcBorders>
            <w:shd w:val="clear" w:color="auto" w:fill="auto"/>
            <w:noWrap/>
            <w:vAlign w:val="center"/>
            <w:hideMark/>
          </w:tcPr>
          <w:p w14:paraId="14814393" w14:textId="533813FD" w:rsidR="00DF78A5" w:rsidRPr="00DF78A5" w:rsidRDefault="00EF0307"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1,063/2,214 (48</w:t>
            </w:r>
            <w:r w:rsidR="00DF78A5" w:rsidRPr="00DF78A5">
              <w:rPr>
                <w:rFonts w:ascii="Arial" w:eastAsia="Times New Roman" w:hAnsi="Arial" w:cs="Arial"/>
                <w:color w:val="000000"/>
                <w:sz w:val="16"/>
                <w:szCs w:val="16"/>
                <w:lang w:val="en-GB" w:eastAsia="en-GB"/>
              </w:rPr>
              <w:t>)</w:t>
            </w:r>
          </w:p>
        </w:tc>
        <w:tc>
          <w:tcPr>
            <w:tcW w:w="1651" w:type="dxa"/>
            <w:tcBorders>
              <w:top w:val="nil"/>
              <w:left w:val="nil"/>
              <w:bottom w:val="nil"/>
              <w:right w:val="single" w:sz="4" w:space="0" w:color="auto"/>
            </w:tcBorders>
            <w:shd w:val="clear" w:color="auto" w:fill="auto"/>
            <w:noWrap/>
            <w:vAlign w:val="center"/>
            <w:hideMark/>
          </w:tcPr>
          <w:p w14:paraId="3E0A0A76" w14:textId="53A0B2C0" w:rsidR="00DF78A5" w:rsidRPr="00DF78A5" w:rsidRDefault="00EF0307"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3,258/6,559 (50</w:t>
            </w:r>
            <w:r w:rsidR="00DF78A5" w:rsidRPr="00DF78A5">
              <w:rPr>
                <w:rFonts w:ascii="Arial" w:eastAsia="Times New Roman" w:hAnsi="Arial" w:cs="Arial"/>
                <w:color w:val="000000"/>
                <w:sz w:val="16"/>
                <w:szCs w:val="16"/>
                <w:lang w:val="en-GB" w:eastAsia="en-GB"/>
              </w:rPr>
              <w:t>)</w:t>
            </w:r>
          </w:p>
        </w:tc>
        <w:tc>
          <w:tcPr>
            <w:tcW w:w="1547" w:type="dxa"/>
            <w:tcBorders>
              <w:top w:val="nil"/>
              <w:left w:val="single" w:sz="4" w:space="0" w:color="auto"/>
              <w:bottom w:val="nil"/>
              <w:right w:val="nil"/>
            </w:tcBorders>
            <w:shd w:val="clear" w:color="auto" w:fill="auto"/>
            <w:noWrap/>
            <w:vAlign w:val="center"/>
            <w:hideMark/>
          </w:tcPr>
          <w:p w14:paraId="22402337" w14:textId="77777777"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Reference</w:t>
            </w:r>
          </w:p>
        </w:tc>
        <w:tc>
          <w:tcPr>
            <w:tcW w:w="709" w:type="dxa"/>
            <w:tcBorders>
              <w:top w:val="nil"/>
              <w:left w:val="nil"/>
              <w:bottom w:val="nil"/>
              <w:right w:val="single" w:sz="4" w:space="0" w:color="auto"/>
            </w:tcBorders>
            <w:shd w:val="clear" w:color="auto" w:fill="auto"/>
            <w:noWrap/>
            <w:vAlign w:val="center"/>
            <w:hideMark/>
          </w:tcPr>
          <w:p w14:paraId="1193C05D" w14:textId="58575D9A"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w:t>
            </w:r>
          </w:p>
        </w:tc>
        <w:tc>
          <w:tcPr>
            <w:tcW w:w="1418" w:type="dxa"/>
            <w:tcBorders>
              <w:top w:val="nil"/>
              <w:left w:val="single" w:sz="4" w:space="0" w:color="auto"/>
              <w:bottom w:val="nil"/>
              <w:right w:val="nil"/>
            </w:tcBorders>
            <w:shd w:val="clear" w:color="auto" w:fill="auto"/>
            <w:noWrap/>
            <w:vAlign w:val="center"/>
            <w:hideMark/>
          </w:tcPr>
          <w:p w14:paraId="6C4758EB" w14:textId="123DF015"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w:t>
            </w:r>
          </w:p>
        </w:tc>
        <w:tc>
          <w:tcPr>
            <w:tcW w:w="708" w:type="dxa"/>
            <w:tcBorders>
              <w:top w:val="nil"/>
              <w:left w:val="nil"/>
              <w:bottom w:val="nil"/>
              <w:right w:val="single" w:sz="4" w:space="0" w:color="auto"/>
            </w:tcBorders>
            <w:shd w:val="clear" w:color="auto" w:fill="auto"/>
            <w:noWrap/>
            <w:vAlign w:val="center"/>
            <w:hideMark/>
          </w:tcPr>
          <w:p w14:paraId="082B24DD" w14:textId="103E93B5"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w:t>
            </w:r>
          </w:p>
        </w:tc>
      </w:tr>
      <w:tr w:rsidR="00DF78A5" w:rsidRPr="00DF78A5" w14:paraId="42F51EB8" w14:textId="77777777" w:rsidTr="00307721">
        <w:trPr>
          <w:trHeight w:val="300"/>
        </w:trPr>
        <w:tc>
          <w:tcPr>
            <w:tcW w:w="1418" w:type="dxa"/>
            <w:tcBorders>
              <w:top w:val="nil"/>
              <w:left w:val="nil"/>
              <w:bottom w:val="nil"/>
              <w:right w:val="nil"/>
            </w:tcBorders>
            <w:shd w:val="clear" w:color="auto" w:fill="auto"/>
            <w:noWrap/>
            <w:vAlign w:val="center"/>
            <w:hideMark/>
          </w:tcPr>
          <w:p w14:paraId="663447ED" w14:textId="77777777" w:rsidR="00DF78A5" w:rsidRPr="00DF78A5" w:rsidRDefault="00DF78A5" w:rsidP="00DF78A5">
            <w:pPr>
              <w:spacing w:after="0" w:line="240" w:lineRule="auto"/>
              <w:rPr>
                <w:rFonts w:ascii="Arial" w:eastAsia="Times New Roman" w:hAnsi="Arial" w:cs="Arial"/>
                <w:b/>
                <w:bCs/>
                <w:color w:val="000000"/>
                <w:sz w:val="16"/>
                <w:szCs w:val="16"/>
                <w:lang w:val="en-GB" w:eastAsia="en-GB"/>
              </w:rPr>
            </w:pPr>
            <w:r w:rsidRPr="00DF78A5">
              <w:rPr>
                <w:rFonts w:ascii="Arial" w:eastAsia="Times New Roman" w:hAnsi="Arial" w:cs="Arial"/>
                <w:b/>
                <w:bCs/>
                <w:color w:val="000000"/>
                <w:sz w:val="16"/>
                <w:szCs w:val="16"/>
                <w:lang w:val="en-GB" w:eastAsia="en-GB"/>
              </w:rPr>
              <w:t>Age (N=8,711)</w:t>
            </w:r>
          </w:p>
        </w:tc>
        <w:tc>
          <w:tcPr>
            <w:tcW w:w="1621" w:type="dxa"/>
            <w:tcBorders>
              <w:top w:val="nil"/>
              <w:left w:val="nil"/>
              <w:bottom w:val="nil"/>
              <w:right w:val="nil"/>
            </w:tcBorders>
            <w:shd w:val="clear" w:color="auto" w:fill="auto"/>
            <w:noWrap/>
            <w:vAlign w:val="center"/>
            <w:hideMark/>
          </w:tcPr>
          <w:p w14:paraId="7EB8349F" w14:textId="168E996C"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p>
        </w:tc>
        <w:tc>
          <w:tcPr>
            <w:tcW w:w="1651" w:type="dxa"/>
            <w:tcBorders>
              <w:top w:val="nil"/>
              <w:left w:val="nil"/>
              <w:bottom w:val="nil"/>
              <w:right w:val="single" w:sz="4" w:space="0" w:color="auto"/>
            </w:tcBorders>
            <w:shd w:val="clear" w:color="auto" w:fill="auto"/>
            <w:noWrap/>
            <w:vAlign w:val="center"/>
            <w:hideMark/>
          </w:tcPr>
          <w:p w14:paraId="7BC7BCAE" w14:textId="77A09083"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p>
        </w:tc>
        <w:tc>
          <w:tcPr>
            <w:tcW w:w="1547" w:type="dxa"/>
            <w:tcBorders>
              <w:top w:val="nil"/>
              <w:left w:val="single" w:sz="4" w:space="0" w:color="auto"/>
              <w:bottom w:val="nil"/>
              <w:right w:val="nil"/>
            </w:tcBorders>
            <w:shd w:val="clear" w:color="auto" w:fill="auto"/>
            <w:noWrap/>
            <w:vAlign w:val="center"/>
            <w:hideMark/>
          </w:tcPr>
          <w:p w14:paraId="389E6868" w14:textId="65D4DEFC"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p>
        </w:tc>
        <w:tc>
          <w:tcPr>
            <w:tcW w:w="709" w:type="dxa"/>
            <w:tcBorders>
              <w:top w:val="nil"/>
              <w:left w:val="nil"/>
              <w:bottom w:val="nil"/>
              <w:right w:val="single" w:sz="4" w:space="0" w:color="auto"/>
            </w:tcBorders>
            <w:shd w:val="clear" w:color="auto" w:fill="auto"/>
            <w:noWrap/>
            <w:vAlign w:val="center"/>
            <w:hideMark/>
          </w:tcPr>
          <w:p w14:paraId="301827BD" w14:textId="327B4AE1"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p>
        </w:tc>
        <w:tc>
          <w:tcPr>
            <w:tcW w:w="1418" w:type="dxa"/>
            <w:tcBorders>
              <w:top w:val="nil"/>
              <w:left w:val="single" w:sz="4" w:space="0" w:color="auto"/>
              <w:bottom w:val="nil"/>
              <w:right w:val="nil"/>
            </w:tcBorders>
            <w:shd w:val="clear" w:color="auto" w:fill="auto"/>
            <w:noWrap/>
            <w:vAlign w:val="center"/>
            <w:hideMark/>
          </w:tcPr>
          <w:p w14:paraId="29B93BDA" w14:textId="3EF471B4"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p>
        </w:tc>
        <w:tc>
          <w:tcPr>
            <w:tcW w:w="708" w:type="dxa"/>
            <w:tcBorders>
              <w:top w:val="nil"/>
              <w:left w:val="nil"/>
              <w:bottom w:val="nil"/>
              <w:right w:val="single" w:sz="4" w:space="0" w:color="auto"/>
            </w:tcBorders>
            <w:shd w:val="clear" w:color="auto" w:fill="auto"/>
            <w:noWrap/>
            <w:vAlign w:val="center"/>
            <w:hideMark/>
          </w:tcPr>
          <w:p w14:paraId="4239EAE5" w14:textId="42BAE9AC"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p>
        </w:tc>
      </w:tr>
      <w:tr w:rsidR="00DF78A5" w:rsidRPr="00DF78A5" w14:paraId="5AB36312" w14:textId="77777777" w:rsidTr="00307721">
        <w:trPr>
          <w:trHeight w:val="300"/>
        </w:trPr>
        <w:tc>
          <w:tcPr>
            <w:tcW w:w="1418" w:type="dxa"/>
            <w:tcBorders>
              <w:top w:val="nil"/>
              <w:left w:val="nil"/>
              <w:bottom w:val="nil"/>
              <w:right w:val="nil"/>
            </w:tcBorders>
            <w:shd w:val="clear" w:color="auto" w:fill="auto"/>
            <w:noWrap/>
            <w:vAlign w:val="center"/>
            <w:hideMark/>
          </w:tcPr>
          <w:p w14:paraId="50A85647" w14:textId="77777777" w:rsidR="00DF78A5" w:rsidRPr="00DF78A5" w:rsidRDefault="00DF78A5" w:rsidP="00DF78A5">
            <w:pPr>
              <w:spacing w:after="0" w:line="240" w:lineRule="auto"/>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 xml:space="preserve">  &lt;1 years</w:t>
            </w:r>
          </w:p>
        </w:tc>
        <w:tc>
          <w:tcPr>
            <w:tcW w:w="1621" w:type="dxa"/>
            <w:tcBorders>
              <w:top w:val="nil"/>
              <w:left w:val="nil"/>
              <w:bottom w:val="nil"/>
              <w:right w:val="nil"/>
            </w:tcBorders>
            <w:shd w:val="clear" w:color="auto" w:fill="auto"/>
            <w:noWrap/>
            <w:vAlign w:val="center"/>
            <w:hideMark/>
          </w:tcPr>
          <w:p w14:paraId="6502CF09" w14:textId="68BEB39C" w:rsidR="00DF78A5" w:rsidRPr="00DF78A5" w:rsidRDefault="00EF0307"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533/2,183 (24</w:t>
            </w:r>
            <w:r w:rsidR="00DF78A5" w:rsidRPr="00DF78A5">
              <w:rPr>
                <w:rFonts w:ascii="Arial" w:eastAsia="Times New Roman" w:hAnsi="Arial" w:cs="Arial"/>
                <w:color w:val="000000"/>
                <w:sz w:val="16"/>
                <w:szCs w:val="16"/>
                <w:lang w:val="en-GB" w:eastAsia="en-GB"/>
              </w:rPr>
              <w:t>)</w:t>
            </w:r>
          </w:p>
        </w:tc>
        <w:tc>
          <w:tcPr>
            <w:tcW w:w="1651" w:type="dxa"/>
            <w:tcBorders>
              <w:top w:val="nil"/>
              <w:left w:val="nil"/>
              <w:bottom w:val="nil"/>
              <w:right w:val="single" w:sz="4" w:space="0" w:color="auto"/>
            </w:tcBorders>
            <w:shd w:val="clear" w:color="auto" w:fill="auto"/>
            <w:noWrap/>
            <w:vAlign w:val="center"/>
            <w:hideMark/>
          </w:tcPr>
          <w:p w14:paraId="37CD8607" w14:textId="4F850FEA" w:rsidR="00DF78A5" w:rsidRPr="00DF78A5" w:rsidRDefault="00EF0307"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1,062/6,528 (16</w:t>
            </w:r>
            <w:r w:rsidR="00DF78A5" w:rsidRPr="00DF78A5">
              <w:rPr>
                <w:rFonts w:ascii="Arial" w:eastAsia="Times New Roman" w:hAnsi="Arial" w:cs="Arial"/>
                <w:color w:val="000000"/>
                <w:sz w:val="16"/>
                <w:szCs w:val="16"/>
                <w:lang w:val="en-GB" w:eastAsia="en-GB"/>
              </w:rPr>
              <w:t>)</w:t>
            </w:r>
          </w:p>
        </w:tc>
        <w:tc>
          <w:tcPr>
            <w:tcW w:w="1547" w:type="dxa"/>
            <w:tcBorders>
              <w:top w:val="nil"/>
              <w:left w:val="single" w:sz="4" w:space="0" w:color="auto"/>
              <w:bottom w:val="nil"/>
              <w:right w:val="nil"/>
            </w:tcBorders>
            <w:shd w:val="clear" w:color="auto" w:fill="auto"/>
            <w:noWrap/>
            <w:vAlign w:val="center"/>
            <w:hideMark/>
          </w:tcPr>
          <w:p w14:paraId="629B9AC0" w14:textId="77777777" w:rsidR="00DF78A5" w:rsidRPr="00DF78A5" w:rsidRDefault="00DF78A5" w:rsidP="00DF78A5">
            <w:pPr>
              <w:spacing w:after="0" w:line="240" w:lineRule="auto"/>
              <w:jc w:val="center"/>
              <w:rPr>
                <w:rFonts w:ascii="Arial" w:eastAsia="Times New Roman" w:hAnsi="Arial" w:cs="Arial"/>
                <w:b/>
                <w:color w:val="000000"/>
                <w:sz w:val="16"/>
                <w:szCs w:val="16"/>
                <w:lang w:val="en-GB" w:eastAsia="en-GB"/>
              </w:rPr>
            </w:pPr>
            <w:r w:rsidRPr="00DF78A5">
              <w:rPr>
                <w:rFonts w:ascii="Arial" w:eastAsia="Times New Roman" w:hAnsi="Arial" w:cs="Arial"/>
                <w:b/>
                <w:color w:val="000000"/>
                <w:sz w:val="16"/>
                <w:szCs w:val="16"/>
                <w:lang w:val="en-GB" w:eastAsia="en-GB"/>
              </w:rPr>
              <w:t>1.6 (1.4-1.9)</w:t>
            </w:r>
          </w:p>
        </w:tc>
        <w:tc>
          <w:tcPr>
            <w:tcW w:w="709" w:type="dxa"/>
            <w:tcBorders>
              <w:top w:val="nil"/>
              <w:left w:val="nil"/>
              <w:bottom w:val="nil"/>
              <w:right w:val="single" w:sz="4" w:space="0" w:color="auto"/>
            </w:tcBorders>
            <w:shd w:val="clear" w:color="auto" w:fill="auto"/>
            <w:noWrap/>
            <w:vAlign w:val="center"/>
            <w:hideMark/>
          </w:tcPr>
          <w:p w14:paraId="068C9A49" w14:textId="77777777" w:rsidR="00DF78A5" w:rsidRPr="00DF78A5" w:rsidRDefault="00DF78A5" w:rsidP="00DF78A5">
            <w:pPr>
              <w:spacing w:after="0" w:line="240" w:lineRule="auto"/>
              <w:jc w:val="center"/>
              <w:rPr>
                <w:rFonts w:ascii="Arial" w:eastAsia="Times New Roman" w:hAnsi="Arial" w:cs="Arial"/>
                <w:b/>
                <w:color w:val="000000"/>
                <w:sz w:val="16"/>
                <w:szCs w:val="16"/>
                <w:lang w:val="en-GB" w:eastAsia="en-GB"/>
              </w:rPr>
            </w:pPr>
            <w:r w:rsidRPr="00DF78A5">
              <w:rPr>
                <w:rFonts w:ascii="Arial" w:eastAsia="Times New Roman" w:hAnsi="Arial" w:cs="Arial"/>
                <w:b/>
                <w:color w:val="000000"/>
                <w:sz w:val="16"/>
                <w:szCs w:val="16"/>
                <w:lang w:val="en-GB" w:eastAsia="en-GB"/>
              </w:rPr>
              <w:t>&lt;0.01</w:t>
            </w:r>
          </w:p>
        </w:tc>
        <w:tc>
          <w:tcPr>
            <w:tcW w:w="1418" w:type="dxa"/>
            <w:tcBorders>
              <w:top w:val="nil"/>
              <w:left w:val="single" w:sz="4" w:space="0" w:color="auto"/>
              <w:bottom w:val="nil"/>
              <w:right w:val="nil"/>
            </w:tcBorders>
            <w:shd w:val="clear" w:color="auto" w:fill="auto"/>
            <w:noWrap/>
            <w:vAlign w:val="center"/>
            <w:hideMark/>
          </w:tcPr>
          <w:p w14:paraId="5B079086" w14:textId="77777777" w:rsidR="00DF78A5" w:rsidRPr="00DF78A5" w:rsidRDefault="00DF78A5" w:rsidP="00DF78A5">
            <w:pPr>
              <w:spacing w:after="0" w:line="240" w:lineRule="auto"/>
              <w:jc w:val="center"/>
              <w:rPr>
                <w:rFonts w:ascii="Arial" w:eastAsia="Times New Roman" w:hAnsi="Arial" w:cs="Arial"/>
                <w:b/>
                <w:color w:val="000000"/>
                <w:sz w:val="16"/>
                <w:szCs w:val="16"/>
                <w:lang w:val="en-GB" w:eastAsia="en-GB"/>
              </w:rPr>
            </w:pPr>
            <w:r w:rsidRPr="00DF78A5">
              <w:rPr>
                <w:rFonts w:ascii="Arial" w:eastAsia="Times New Roman" w:hAnsi="Arial" w:cs="Arial"/>
                <w:b/>
                <w:color w:val="000000"/>
                <w:sz w:val="16"/>
                <w:szCs w:val="16"/>
                <w:lang w:val="en-GB" w:eastAsia="en-GB"/>
              </w:rPr>
              <w:t>1.5 (1.2-1.9)</w:t>
            </w:r>
          </w:p>
        </w:tc>
        <w:tc>
          <w:tcPr>
            <w:tcW w:w="708" w:type="dxa"/>
            <w:tcBorders>
              <w:top w:val="nil"/>
              <w:left w:val="nil"/>
              <w:bottom w:val="nil"/>
              <w:right w:val="single" w:sz="4" w:space="0" w:color="auto"/>
            </w:tcBorders>
            <w:shd w:val="clear" w:color="auto" w:fill="auto"/>
            <w:noWrap/>
            <w:vAlign w:val="center"/>
            <w:hideMark/>
          </w:tcPr>
          <w:p w14:paraId="4C4052C0" w14:textId="77777777" w:rsidR="00DF78A5" w:rsidRPr="00DF78A5" w:rsidRDefault="00DF78A5" w:rsidP="00DF78A5">
            <w:pPr>
              <w:spacing w:after="0" w:line="240" w:lineRule="auto"/>
              <w:jc w:val="center"/>
              <w:rPr>
                <w:rFonts w:ascii="Arial" w:eastAsia="Times New Roman" w:hAnsi="Arial" w:cs="Arial"/>
                <w:b/>
                <w:color w:val="000000"/>
                <w:sz w:val="16"/>
                <w:szCs w:val="16"/>
                <w:lang w:val="en-GB" w:eastAsia="en-GB"/>
              </w:rPr>
            </w:pPr>
            <w:r w:rsidRPr="00DF78A5">
              <w:rPr>
                <w:rFonts w:ascii="Arial" w:eastAsia="Times New Roman" w:hAnsi="Arial" w:cs="Arial"/>
                <w:b/>
                <w:color w:val="000000"/>
                <w:sz w:val="16"/>
                <w:szCs w:val="16"/>
                <w:lang w:val="en-GB" w:eastAsia="en-GB"/>
              </w:rPr>
              <w:t>&lt;0.01</w:t>
            </w:r>
          </w:p>
        </w:tc>
      </w:tr>
      <w:tr w:rsidR="00DF78A5" w:rsidRPr="00DF78A5" w14:paraId="10E47BFB" w14:textId="77777777" w:rsidTr="00307721">
        <w:trPr>
          <w:trHeight w:val="300"/>
        </w:trPr>
        <w:tc>
          <w:tcPr>
            <w:tcW w:w="1418" w:type="dxa"/>
            <w:tcBorders>
              <w:top w:val="nil"/>
              <w:left w:val="nil"/>
              <w:bottom w:val="nil"/>
              <w:right w:val="nil"/>
            </w:tcBorders>
            <w:shd w:val="clear" w:color="auto" w:fill="auto"/>
            <w:noWrap/>
            <w:vAlign w:val="center"/>
            <w:hideMark/>
          </w:tcPr>
          <w:p w14:paraId="2EEC82C8" w14:textId="77777777" w:rsidR="00DF78A5" w:rsidRPr="00DF78A5" w:rsidRDefault="00DF78A5" w:rsidP="00DF78A5">
            <w:pPr>
              <w:spacing w:after="0" w:line="240" w:lineRule="auto"/>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 xml:space="preserve">  1-14 years</w:t>
            </w:r>
          </w:p>
        </w:tc>
        <w:tc>
          <w:tcPr>
            <w:tcW w:w="1621" w:type="dxa"/>
            <w:tcBorders>
              <w:top w:val="nil"/>
              <w:left w:val="nil"/>
              <w:bottom w:val="nil"/>
              <w:right w:val="nil"/>
            </w:tcBorders>
            <w:shd w:val="clear" w:color="auto" w:fill="auto"/>
            <w:noWrap/>
            <w:vAlign w:val="center"/>
            <w:hideMark/>
          </w:tcPr>
          <w:p w14:paraId="4261F2F2" w14:textId="124623C6" w:rsidR="00DF78A5" w:rsidRPr="00DF78A5" w:rsidRDefault="00EF0307"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476/2,183 (22</w:t>
            </w:r>
            <w:r w:rsidR="00DF78A5" w:rsidRPr="00DF78A5">
              <w:rPr>
                <w:rFonts w:ascii="Arial" w:eastAsia="Times New Roman" w:hAnsi="Arial" w:cs="Arial"/>
                <w:color w:val="000000"/>
                <w:sz w:val="16"/>
                <w:szCs w:val="16"/>
                <w:lang w:val="en-GB" w:eastAsia="en-GB"/>
              </w:rPr>
              <w:t>)</w:t>
            </w:r>
          </w:p>
        </w:tc>
        <w:tc>
          <w:tcPr>
            <w:tcW w:w="1651" w:type="dxa"/>
            <w:tcBorders>
              <w:top w:val="nil"/>
              <w:left w:val="nil"/>
              <w:bottom w:val="nil"/>
              <w:right w:val="single" w:sz="4" w:space="0" w:color="auto"/>
            </w:tcBorders>
            <w:shd w:val="clear" w:color="auto" w:fill="auto"/>
            <w:noWrap/>
            <w:vAlign w:val="center"/>
            <w:hideMark/>
          </w:tcPr>
          <w:p w14:paraId="42B201E9" w14:textId="69A63733" w:rsidR="00DF78A5" w:rsidRPr="00DF78A5" w:rsidRDefault="00EF0307"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1,551/6,528 (24</w:t>
            </w:r>
            <w:r w:rsidR="00DF78A5" w:rsidRPr="00DF78A5">
              <w:rPr>
                <w:rFonts w:ascii="Arial" w:eastAsia="Times New Roman" w:hAnsi="Arial" w:cs="Arial"/>
                <w:color w:val="000000"/>
                <w:sz w:val="16"/>
                <w:szCs w:val="16"/>
                <w:lang w:val="en-GB" w:eastAsia="en-GB"/>
              </w:rPr>
              <w:t>)</w:t>
            </w:r>
          </w:p>
        </w:tc>
        <w:tc>
          <w:tcPr>
            <w:tcW w:w="1547" w:type="dxa"/>
            <w:tcBorders>
              <w:top w:val="nil"/>
              <w:left w:val="single" w:sz="4" w:space="0" w:color="auto"/>
              <w:bottom w:val="nil"/>
              <w:right w:val="nil"/>
            </w:tcBorders>
            <w:shd w:val="clear" w:color="auto" w:fill="auto"/>
            <w:noWrap/>
            <w:vAlign w:val="center"/>
            <w:hideMark/>
          </w:tcPr>
          <w:p w14:paraId="420012DF" w14:textId="77777777"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Reference</w:t>
            </w:r>
          </w:p>
        </w:tc>
        <w:tc>
          <w:tcPr>
            <w:tcW w:w="709" w:type="dxa"/>
            <w:tcBorders>
              <w:top w:val="nil"/>
              <w:left w:val="nil"/>
              <w:bottom w:val="nil"/>
              <w:right w:val="single" w:sz="4" w:space="0" w:color="auto"/>
            </w:tcBorders>
            <w:shd w:val="clear" w:color="auto" w:fill="auto"/>
            <w:noWrap/>
            <w:vAlign w:val="center"/>
            <w:hideMark/>
          </w:tcPr>
          <w:p w14:paraId="17E0DCF1" w14:textId="59496D51"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w:t>
            </w:r>
          </w:p>
        </w:tc>
        <w:tc>
          <w:tcPr>
            <w:tcW w:w="1418" w:type="dxa"/>
            <w:tcBorders>
              <w:top w:val="nil"/>
              <w:left w:val="single" w:sz="4" w:space="0" w:color="auto"/>
              <w:bottom w:val="nil"/>
              <w:right w:val="nil"/>
            </w:tcBorders>
            <w:shd w:val="clear" w:color="auto" w:fill="auto"/>
            <w:noWrap/>
            <w:vAlign w:val="center"/>
            <w:hideMark/>
          </w:tcPr>
          <w:p w14:paraId="2888BA8E" w14:textId="77777777"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Reference</w:t>
            </w:r>
          </w:p>
        </w:tc>
        <w:tc>
          <w:tcPr>
            <w:tcW w:w="708" w:type="dxa"/>
            <w:tcBorders>
              <w:top w:val="nil"/>
              <w:left w:val="nil"/>
              <w:bottom w:val="nil"/>
              <w:right w:val="single" w:sz="4" w:space="0" w:color="auto"/>
            </w:tcBorders>
            <w:shd w:val="clear" w:color="auto" w:fill="auto"/>
            <w:noWrap/>
            <w:vAlign w:val="center"/>
            <w:hideMark/>
          </w:tcPr>
          <w:p w14:paraId="2069AB7C" w14:textId="7E6CD2F2"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w:t>
            </w:r>
          </w:p>
        </w:tc>
      </w:tr>
      <w:tr w:rsidR="00DF78A5" w:rsidRPr="00DF78A5" w14:paraId="77AFFE80" w14:textId="77777777" w:rsidTr="00307721">
        <w:trPr>
          <w:trHeight w:val="300"/>
        </w:trPr>
        <w:tc>
          <w:tcPr>
            <w:tcW w:w="1418" w:type="dxa"/>
            <w:tcBorders>
              <w:top w:val="nil"/>
              <w:left w:val="nil"/>
              <w:bottom w:val="nil"/>
              <w:right w:val="nil"/>
            </w:tcBorders>
            <w:shd w:val="clear" w:color="auto" w:fill="auto"/>
            <w:noWrap/>
            <w:vAlign w:val="center"/>
            <w:hideMark/>
          </w:tcPr>
          <w:p w14:paraId="28750E0C" w14:textId="77777777" w:rsidR="00DF78A5" w:rsidRPr="00DF78A5" w:rsidRDefault="00DF78A5" w:rsidP="00DF78A5">
            <w:pPr>
              <w:spacing w:after="0" w:line="240" w:lineRule="auto"/>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 xml:space="preserve">  15-64 years</w:t>
            </w:r>
          </w:p>
        </w:tc>
        <w:tc>
          <w:tcPr>
            <w:tcW w:w="1621" w:type="dxa"/>
            <w:tcBorders>
              <w:top w:val="nil"/>
              <w:left w:val="nil"/>
              <w:bottom w:val="nil"/>
              <w:right w:val="nil"/>
            </w:tcBorders>
            <w:shd w:val="clear" w:color="auto" w:fill="auto"/>
            <w:noWrap/>
            <w:vAlign w:val="center"/>
            <w:hideMark/>
          </w:tcPr>
          <w:p w14:paraId="2DA8AF3D" w14:textId="1924B9A3" w:rsidR="00DF78A5" w:rsidRPr="00DF78A5" w:rsidRDefault="00EF0307"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1,145/2,183 (53</w:t>
            </w:r>
            <w:r w:rsidR="00DF78A5" w:rsidRPr="00DF78A5">
              <w:rPr>
                <w:rFonts w:ascii="Arial" w:eastAsia="Times New Roman" w:hAnsi="Arial" w:cs="Arial"/>
                <w:color w:val="000000"/>
                <w:sz w:val="16"/>
                <w:szCs w:val="16"/>
                <w:lang w:val="en-GB" w:eastAsia="en-GB"/>
              </w:rPr>
              <w:t>)</w:t>
            </w:r>
          </w:p>
        </w:tc>
        <w:tc>
          <w:tcPr>
            <w:tcW w:w="1651" w:type="dxa"/>
            <w:tcBorders>
              <w:top w:val="nil"/>
              <w:left w:val="nil"/>
              <w:bottom w:val="nil"/>
              <w:right w:val="single" w:sz="4" w:space="0" w:color="auto"/>
            </w:tcBorders>
            <w:shd w:val="clear" w:color="auto" w:fill="auto"/>
            <w:noWrap/>
            <w:vAlign w:val="center"/>
            <w:hideMark/>
          </w:tcPr>
          <w:p w14:paraId="3B577893" w14:textId="045422A7" w:rsidR="00DF78A5" w:rsidRPr="00DF78A5" w:rsidRDefault="00EF0307"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3,690/6,528 (57</w:t>
            </w:r>
            <w:r w:rsidR="00DF78A5" w:rsidRPr="00DF78A5">
              <w:rPr>
                <w:rFonts w:ascii="Arial" w:eastAsia="Times New Roman" w:hAnsi="Arial" w:cs="Arial"/>
                <w:color w:val="000000"/>
                <w:sz w:val="16"/>
                <w:szCs w:val="16"/>
                <w:lang w:val="en-GB" w:eastAsia="en-GB"/>
              </w:rPr>
              <w:t>)</w:t>
            </w:r>
          </w:p>
        </w:tc>
        <w:tc>
          <w:tcPr>
            <w:tcW w:w="1547" w:type="dxa"/>
            <w:tcBorders>
              <w:top w:val="nil"/>
              <w:left w:val="single" w:sz="4" w:space="0" w:color="auto"/>
              <w:bottom w:val="nil"/>
              <w:right w:val="nil"/>
            </w:tcBorders>
            <w:shd w:val="clear" w:color="auto" w:fill="auto"/>
            <w:noWrap/>
            <w:vAlign w:val="center"/>
            <w:hideMark/>
          </w:tcPr>
          <w:p w14:paraId="25B968D6" w14:textId="77777777"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1.0 (0.9-1.1)</w:t>
            </w:r>
          </w:p>
        </w:tc>
        <w:tc>
          <w:tcPr>
            <w:tcW w:w="709" w:type="dxa"/>
            <w:tcBorders>
              <w:top w:val="nil"/>
              <w:left w:val="nil"/>
              <w:bottom w:val="nil"/>
              <w:right w:val="single" w:sz="4" w:space="0" w:color="auto"/>
            </w:tcBorders>
            <w:shd w:val="clear" w:color="auto" w:fill="auto"/>
            <w:noWrap/>
            <w:vAlign w:val="center"/>
            <w:hideMark/>
          </w:tcPr>
          <w:p w14:paraId="54F78D84" w14:textId="77777777"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0.86</w:t>
            </w:r>
          </w:p>
        </w:tc>
        <w:tc>
          <w:tcPr>
            <w:tcW w:w="1418" w:type="dxa"/>
            <w:tcBorders>
              <w:top w:val="nil"/>
              <w:left w:val="single" w:sz="4" w:space="0" w:color="auto"/>
              <w:bottom w:val="nil"/>
              <w:right w:val="nil"/>
            </w:tcBorders>
            <w:shd w:val="clear" w:color="auto" w:fill="auto"/>
            <w:noWrap/>
            <w:vAlign w:val="center"/>
            <w:hideMark/>
          </w:tcPr>
          <w:p w14:paraId="37FCEE80" w14:textId="77777777"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0.8 (0.7-1.0)</w:t>
            </w:r>
          </w:p>
        </w:tc>
        <w:tc>
          <w:tcPr>
            <w:tcW w:w="708" w:type="dxa"/>
            <w:tcBorders>
              <w:top w:val="nil"/>
              <w:left w:val="nil"/>
              <w:bottom w:val="nil"/>
              <w:right w:val="single" w:sz="4" w:space="0" w:color="auto"/>
            </w:tcBorders>
            <w:shd w:val="clear" w:color="auto" w:fill="auto"/>
            <w:noWrap/>
            <w:vAlign w:val="center"/>
            <w:hideMark/>
          </w:tcPr>
          <w:p w14:paraId="7D566D67" w14:textId="77777777"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0.12</w:t>
            </w:r>
          </w:p>
        </w:tc>
      </w:tr>
      <w:tr w:rsidR="00DF78A5" w:rsidRPr="00DF78A5" w14:paraId="1D6500E0" w14:textId="77777777" w:rsidTr="00307721">
        <w:trPr>
          <w:trHeight w:val="300"/>
        </w:trPr>
        <w:tc>
          <w:tcPr>
            <w:tcW w:w="1418" w:type="dxa"/>
            <w:tcBorders>
              <w:top w:val="nil"/>
              <w:left w:val="nil"/>
              <w:bottom w:val="nil"/>
              <w:right w:val="nil"/>
            </w:tcBorders>
            <w:shd w:val="clear" w:color="auto" w:fill="auto"/>
            <w:noWrap/>
            <w:vAlign w:val="center"/>
            <w:hideMark/>
          </w:tcPr>
          <w:p w14:paraId="35C37EE5" w14:textId="77777777" w:rsidR="00DF78A5" w:rsidRPr="00DF78A5" w:rsidRDefault="00DF78A5" w:rsidP="00DF78A5">
            <w:pPr>
              <w:spacing w:after="0" w:line="240" w:lineRule="auto"/>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 xml:space="preserve">  &gt;64 years</w:t>
            </w:r>
          </w:p>
        </w:tc>
        <w:tc>
          <w:tcPr>
            <w:tcW w:w="1621" w:type="dxa"/>
            <w:tcBorders>
              <w:top w:val="nil"/>
              <w:left w:val="nil"/>
              <w:bottom w:val="nil"/>
              <w:right w:val="nil"/>
            </w:tcBorders>
            <w:shd w:val="clear" w:color="auto" w:fill="auto"/>
            <w:noWrap/>
            <w:vAlign w:val="center"/>
            <w:hideMark/>
          </w:tcPr>
          <w:p w14:paraId="27E7DD8D" w14:textId="7ACA1003" w:rsidR="00DF78A5" w:rsidRPr="00DF78A5" w:rsidRDefault="00EF0307"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29/2,183 (1</w:t>
            </w:r>
            <w:r w:rsidR="00DF78A5" w:rsidRPr="00DF78A5">
              <w:rPr>
                <w:rFonts w:ascii="Arial" w:eastAsia="Times New Roman" w:hAnsi="Arial" w:cs="Arial"/>
                <w:color w:val="000000"/>
                <w:sz w:val="16"/>
                <w:szCs w:val="16"/>
                <w:lang w:val="en-GB" w:eastAsia="en-GB"/>
              </w:rPr>
              <w:t>)</w:t>
            </w:r>
          </w:p>
        </w:tc>
        <w:tc>
          <w:tcPr>
            <w:tcW w:w="1651" w:type="dxa"/>
            <w:tcBorders>
              <w:top w:val="nil"/>
              <w:left w:val="nil"/>
              <w:bottom w:val="nil"/>
              <w:right w:val="single" w:sz="4" w:space="0" w:color="auto"/>
            </w:tcBorders>
            <w:shd w:val="clear" w:color="auto" w:fill="auto"/>
            <w:noWrap/>
            <w:vAlign w:val="center"/>
            <w:hideMark/>
          </w:tcPr>
          <w:p w14:paraId="052B3335" w14:textId="3D31C05E" w:rsidR="00DF78A5" w:rsidRPr="00DF78A5" w:rsidRDefault="00EF0307"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225/6,528 (3</w:t>
            </w:r>
            <w:r w:rsidR="00DF78A5" w:rsidRPr="00DF78A5">
              <w:rPr>
                <w:rFonts w:ascii="Arial" w:eastAsia="Times New Roman" w:hAnsi="Arial" w:cs="Arial"/>
                <w:color w:val="000000"/>
                <w:sz w:val="16"/>
                <w:szCs w:val="16"/>
                <w:lang w:val="en-GB" w:eastAsia="en-GB"/>
              </w:rPr>
              <w:t>)</w:t>
            </w:r>
          </w:p>
        </w:tc>
        <w:tc>
          <w:tcPr>
            <w:tcW w:w="1547" w:type="dxa"/>
            <w:tcBorders>
              <w:top w:val="nil"/>
              <w:left w:val="single" w:sz="4" w:space="0" w:color="auto"/>
              <w:bottom w:val="nil"/>
              <w:right w:val="nil"/>
            </w:tcBorders>
            <w:shd w:val="clear" w:color="auto" w:fill="auto"/>
            <w:noWrap/>
            <w:vAlign w:val="center"/>
            <w:hideMark/>
          </w:tcPr>
          <w:p w14:paraId="65582895" w14:textId="77777777" w:rsidR="00DF78A5" w:rsidRPr="00EF0307" w:rsidRDefault="00DF78A5" w:rsidP="00DF78A5">
            <w:pPr>
              <w:spacing w:after="0" w:line="240" w:lineRule="auto"/>
              <w:jc w:val="center"/>
              <w:rPr>
                <w:rFonts w:ascii="Arial" w:eastAsia="Times New Roman" w:hAnsi="Arial" w:cs="Arial"/>
                <w:b/>
                <w:color w:val="000000"/>
                <w:sz w:val="16"/>
                <w:szCs w:val="16"/>
                <w:lang w:val="en-GB" w:eastAsia="en-GB"/>
              </w:rPr>
            </w:pPr>
            <w:r w:rsidRPr="00EF0307">
              <w:rPr>
                <w:rFonts w:ascii="Arial" w:eastAsia="Times New Roman" w:hAnsi="Arial" w:cs="Arial"/>
                <w:b/>
                <w:color w:val="000000"/>
                <w:sz w:val="16"/>
                <w:szCs w:val="16"/>
                <w:lang w:val="en-GB" w:eastAsia="en-GB"/>
              </w:rPr>
              <w:t>0.4 (0.3-0.6)</w:t>
            </w:r>
          </w:p>
        </w:tc>
        <w:tc>
          <w:tcPr>
            <w:tcW w:w="709" w:type="dxa"/>
            <w:tcBorders>
              <w:top w:val="nil"/>
              <w:left w:val="nil"/>
              <w:bottom w:val="nil"/>
              <w:right w:val="single" w:sz="4" w:space="0" w:color="auto"/>
            </w:tcBorders>
            <w:shd w:val="clear" w:color="auto" w:fill="auto"/>
            <w:noWrap/>
            <w:vAlign w:val="center"/>
            <w:hideMark/>
          </w:tcPr>
          <w:p w14:paraId="0219BC0B" w14:textId="77777777" w:rsidR="00DF78A5" w:rsidRPr="00EF0307" w:rsidRDefault="00DF78A5" w:rsidP="00DF78A5">
            <w:pPr>
              <w:spacing w:after="0" w:line="240" w:lineRule="auto"/>
              <w:jc w:val="center"/>
              <w:rPr>
                <w:rFonts w:ascii="Arial" w:eastAsia="Times New Roman" w:hAnsi="Arial" w:cs="Arial"/>
                <w:b/>
                <w:color w:val="000000"/>
                <w:sz w:val="16"/>
                <w:szCs w:val="16"/>
                <w:lang w:val="en-GB" w:eastAsia="en-GB"/>
              </w:rPr>
            </w:pPr>
            <w:r w:rsidRPr="00EF0307">
              <w:rPr>
                <w:rFonts w:ascii="Arial" w:eastAsia="Times New Roman" w:hAnsi="Arial" w:cs="Arial"/>
                <w:b/>
                <w:color w:val="000000"/>
                <w:sz w:val="16"/>
                <w:szCs w:val="16"/>
                <w:lang w:val="en-GB" w:eastAsia="en-GB"/>
              </w:rPr>
              <w:t>&lt;0.01</w:t>
            </w:r>
          </w:p>
        </w:tc>
        <w:tc>
          <w:tcPr>
            <w:tcW w:w="1418" w:type="dxa"/>
            <w:tcBorders>
              <w:top w:val="nil"/>
              <w:left w:val="single" w:sz="4" w:space="0" w:color="auto"/>
              <w:bottom w:val="nil"/>
              <w:right w:val="nil"/>
            </w:tcBorders>
            <w:shd w:val="clear" w:color="auto" w:fill="auto"/>
            <w:noWrap/>
            <w:vAlign w:val="center"/>
            <w:hideMark/>
          </w:tcPr>
          <w:p w14:paraId="304F924B" w14:textId="77777777"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0.5 (0.2-1.4)</w:t>
            </w:r>
          </w:p>
        </w:tc>
        <w:tc>
          <w:tcPr>
            <w:tcW w:w="708" w:type="dxa"/>
            <w:tcBorders>
              <w:top w:val="nil"/>
              <w:left w:val="nil"/>
              <w:bottom w:val="nil"/>
              <w:right w:val="single" w:sz="4" w:space="0" w:color="auto"/>
            </w:tcBorders>
            <w:shd w:val="clear" w:color="auto" w:fill="auto"/>
            <w:noWrap/>
            <w:vAlign w:val="center"/>
            <w:hideMark/>
          </w:tcPr>
          <w:p w14:paraId="77AC05BC" w14:textId="77777777"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0.19</w:t>
            </w:r>
          </w:p>
        </w:tc>
      </w:tr>
      <w:tr w:rsidR="00DF78A5" w:rsidRPr="00DF78A5" w14:paraId="10E76E33" w14:textId="77777777" w:rsidTr="00307721">
        <w:trPr>
          <w:trHeight w:val="300"/>
        </w:trPr>
        <w:tc>
          <w:tcPr>
            <w:tcW w:w="3039" w:type="dxa"/>
            <w:gridSpan w:val="2"/>
            <w:tcBorders>
              <w:top w:val="nil"/>
              <w:left w:val="nil"/>
              <w:bottom w:val="nil"/>
              <w:right w:val="nil"/>
            </w:tcBorders>
            <w:shd w:val="clear" w:color="auto" w:fill="auto"/>
            <w:noWrap/>
            <w:vAlign w:val="center"/>
            <w:hideMark/>
          </w:tcPr>
          <w:p w14:paraId="7E27B373" w14:textId="4C837339" w:rsidR="00DF78A5" w:rsidRPr="00DF78A5" w:rsidRDefault="00DF78A5" w:rsidP="00DF78A5">
            <w:pPr>
              <w:spacing w:after="0" w:line="240" w:lineRule="auto"/>
              <w:rPr>
                <w:rFonts w:ascii="Arial" w:eastAsia="Times New Roman" w:hAnsi="Arial" w:cs="Arial"/>
                <w:color w:val="000000"/>
                <w:sz w:val="16"/>
                <w:szCs w:val="16"/>
                <w:lang w:val="en-GB" w:eastAsia="en-GB"/>
              </w:rPr>
            </w:pPr>
            <w:r w:rsidRPr="00DF78A5">
              <w:rPr>
                <w:rFonts w:ascii="Arial" w:eastAsia="Times New Roman" w:hAnsi="Arial" w:cs="Arial"/>
                <w:b/>
                <w:bCs/>
                <w:color w:val="000000"/>
                <w:sz w:val="16"/>
                <w:szCs w:val="16"/>
                <w:lang w:val="en-GB" w:eastAsia="en-GB"/>
              </w:rPr>
              <w:t>Province (N=8,853)</w:t>
            </w:r>
          </w:p>
        </w:tc>
        <w:tc>
          <w:tcPr>
            <w:tcW w:w="1651" w:type="dxa"/>
            <w:tcBorders>
              <w:top w:val="nil"/>
              <w:left w:val="nil"/>
              <w:bottom w:val="nil"/>
              <w:right w:val="single" w:sz="4" w:space="0" w:color="auto"/>
            </w:tcBorders>
            <w:shd w:val="clear" w:color="auto" w:fill="auto"/>
            <w:noWrap/>
            <w:vAlign w:val="center"/>
            <w:hideMark/>
          </w:tcPr>
          <w:p w14:paraId="541C4839" w14:textId="57322E4D"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p>
        </w:tc>
        <w:tc>
          <w:tcPr>
            <w:tcW w:w="1547" w:type="dxa"/>
            <w:tcBorders>
              <w:top w:val="nil"/>
              <w:left w:val="single" w:sz="4" w:space="0" w:color="auto"/>
              <w:bottom w:val="nil"/>
              <w:right w:val="nil"/>
            </w:tcBorders>
            <w:shd w:val="clear" w:color="auto" w:fill="auto"/>
            <w:noWrap/>
            <w:vAlign w:val="center"/>
            <w:hideMark/>
          </w:tcPr>
          <w:p w14:paraId="5C0B9FE0" w14:textId="3B271C82"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p>
        </w:tc>
        <w:tc>
          <w:tcPr>
            <w:tcW w:w="709" w:type="dxa"/>
            <w:tcBorders>
              <w:top w:val="nil"/>
              <w:left w:val="nil"/>
              <w:bottom w:val="nil"/>
              <w:right w:val="single" w:sz="4" w:space="0" w:color="auto"/>
            </w:tcBorders>
            <w:shd w:val="clear" w:color="auto" w:fill="auto"/>
            <w:noWrap/>
            <w:vAlign w:val="center"/>
            <w:hideMark/>
          </w:tcPr>
          <w:p w14:paraId="4501472A" w14:textId="667D8D94"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p>
        </w:tc>
        <w:tc>
          <w:tcPr>
            <w:tcW w:w="1418" w:type="dxa"/>
            <w:tcBorders>
              <w:top w:val="nil"/>
              <w:left w:val="single" w:sz="4" w:space="0" w:color="auto"/>
              <w:bottom w:val="nil"/>
              <w:right w:val="nil"/>
            </w:tcBorders>
            <w:shd w:val="clear" w:color="auto" w:fill="auto"/>
            <w:noWrap/>
            <w:vAlign w:val="center"/>
            <w:hideMark/>
          </w:tcPr>
          <w:p w14:paraId="5D13FA96" w14:textId="79AD453F"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p>
        </w:tc>
        <w:tc>
          <w:tcPr>
            <w:tcW w:w="708" w:type="dxa"/>
            <w:tcBorders>
              <w:top w:val="nil"/>
              <w:left w:val="nil"/>
              <w:bottom w:val="nil"/>
              <w:right w:val="single" w:sz="4" w:space="0" w:color="auto"/>
            </w:tcBorders>
            <w:shd w:val="clear" w:color="auto" w:fill="auto"/>
            <w:noWrap/>
            <w:vAlign w:val="center"/>
            <w:hideMark/>
          </w:tcPr>
          <w:p w14:paraId="62812EA5" w14:textId="074683F7"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p>
        </w:tc>
      </w:tr>
      <w:tr w:rsidR="00DF78A5" w:rsidRPr="00DF78A5" w14:paraId="54A52CF3" w14:textId="77777777" w:rsidTr="00307721">
        <w:trPr>
          <w:trHeight w:val="300"/>
        </w:trPr>
        <w:tc>
          <w:tcPr>
            <w:tcW w:w="1418" w:type="dxa"/>
            <w:tcBorders>
              <w:top w:val="nil"/>
              <w:left w:val="nil"/>
              <w:bottom w:val="nil"/>
              <w:right w:val="nil"/>
            </w:tcBorders>
            <w:shd w:val="clear" w:color="auto" w:fill="auto"/>
            <w:noWrap/>
            <w:vAlign w:val="center"/>
            <w:hideMark/>
          </w:tcPr>
          <w:p w14:paraId="197B507A" w14:textId="77777777" w:rsidR="00DF78A5" w:rsidRPr="00DF78A5" w:rsidRDefault="00DF78A5" w:rsidP="00DF78A5">
            <w:pPr>
              <w:spacing w:after="0" w:line="240" w:lineRule="auto"/>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 xml:space="preserve">  Eastern Cape</w:t>
            </w:r>
          </w:p>
        </w:tc>
        <w:tc>
          <w:tcPr>
            <w:tcW w:w="1621" w:type="dxa"/>
            <w:tcBorders>
              <w:top w:val="nil"/>
              <w:left w:val="nil"/>
              <w:bottom w:val="nil"/>
              <w:right w:val="nil"/>
            </w:tcBorders>
            <w:shd w:val="clear" w:color="auto" w:fill="auto"/>
            <w:noWrap/>
            <w:vAlign w:val="center"/>
            <w:hideMark/>
          </w:tcPr>
          <w:p w14:paraId="2ACB29C5" w14:textId="0B3563DD" w:rsidR="00DF78A5" w:rsidRPr="00DF78A5" w:rsidRDefault="00EF0307"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135/2,233 (6</w:t>
            </w:r>
            <w:r w:rsidR="00DF78A5" w:rsidRPr="00DF78A5">
              <w:rPr>
                <w:rFonts w:ascii="Arial" w:eastAsia="Times New Roman" w:hAnsi="Arial" w:cs="Arial"/>
                <w:color w:val="000000"/>
                <w:sz w:val="16"/>
                <w:szCs w:val="16"/>
                <w:lang w:val="en-GB" w:eastAsia="en-GB"/>
              </w:rPr>
              <w:t>)</w:t>
            </w:r>
          </w:p>
        </w:tc>
        <w:tc>
          <w:tcPr>
            <w:tcW w:w="1651" w:type="dxa"/>
            <w:tcBorders>
              <w:top w:val="nil"/>
              <w:left w:val="nil"/>
              <w:bottom w:val="nil"/>
              <w:right w:val="single" w:sz="4" w:space="0" w:color="auto"/>
            </w:tcBorders>
            <w:shd w:val="clear" w:color="auto" w:fill="auto"/>
            <w:noWrap/>
            <w:vAlign w:val="center"/>
            <w:hideMark/>
          </w:tcPr>
          <w:p w14:paraId="4F0E2F0D" w14:textId="185D2147" w:rsidR="00DF78A5" w:rsidRPr="00DF78A5" w:rsidRDefault="00EF0307"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111/6,620 (2</w:t>
            </w:r>
            <w:r w:rsidR="00DF78A5" w:rsidRPr="00DF78A5">
              <w:rPr>
                <w:rFonts w:ascii="Arial" w:eastAsia="Times New Roman" w:hAnsi="Arial" w:cs="Arial"/>
                <w:color w:val="000000"/>
                <w:sz w:val="16"/>
                <w:szCs w:val="16"/>
                <w:lang w:val="en-GB" w:eastAsia="en-GB"/>
              </w:rPr>
              <w:t>)</w:t>
            </w:r>
          </w:p>
        </w:tc>
        <w:tc>
          <w:tcPr>
            <w:tcW w:w="1547" w:type="dxa"/>
            <w:tcBorders>
              <w:top w:val="nil"/>
              <w:left w:val="single" w:sz="4" w:space="0" w:color="auto"/>
              <w:bottom w:val="nil"/>
              <w:right w:val="nil"/>
            </w:tcBorders>
            <w:shd w:val="clear" w:color="auto" w:fill="auto"/>
            <w:noWrap/>
            <w:vAlign w:val="center"/>
            <w:hideMark/>
          </w:tcPr>
          <w:p w14:paraId="6E2FE04F" w14:textId="77777777" w:rsidR="00DF78A5" w:rsidRPr="00DF78A5" w:rsidRDefault="00DF78A5" w:rsidP="00DF78A5">
            <w:pPr>
              <w:spacing w:after="0" w:line="240" w:lineRule="auto"/>
              <w:jc w:val="center"/>
              <w:rPr>
                <w:rFonts w:ascii="Arial" w:eastAsia="Times New Roman" w:hAnsi="Arial" w:cs="Arial"/>
                <w:b/>
                <w:color w:val="000000"/>
                <w:sz w:val="16"/>
                <w:szCs w:val="16"/>
                <w:lang w:val="en-GB" w:eastAsia="en-GB"/>
              </w:rPr>
            </w:pPr>
            <w:r w:rsidRPr="00DF78A5">
              <w:rPr>
                <w:rFonts w:ascii="Arial" w:eastAsia="Times New Roman" w:hAnsi="Arial" w:cs="Arial"/>
                <w:b/>
                <w:color w:val="000000"/>
                <w:sz w:val="16"/>
                <w:szCs w:val="16"/>
                <w:lang w:val="en-GB" w:eastAsia="en-GB"/>
              </w:rPr>
              <w:t>5.2 (3.9-7.0)</w:t>
            </w:r>
          </w:p>
        </w:tc>
        <w:tc>
          <w:tcPr>
            <w:tcW w:w="709" w:type="dxa"/>
            <w:tcBorders>
              <w:top w:val="nil"/>
              <w:left w:val="nil"/>
              <w:bottom w:val="nil"/>
              <w:right w:val="single" w:sz="4" w:space="0" w:color="auto"/>
            </w:tcBorders>
            <w:shd w:val="clear" w:color="auto" w:fill="auto"/>
            <w:noWrap/>
            <w:vAlign w:val="center"/>
            <w:hideMark/>
          </w:tcPr>
          <w:p w14:paraId="3DBD27B1" w14:textId="77777777" w:rsidR="00DF78A5" w:rsidRPr="00DF78A5" w:rsidRDefault="00DF78A5" w:rsidP="00DF78A5">
            <w:pPr>
              <w:spacing w:after="0" w:line="240" w:lineRule="auto"/>
              <w:jc w:val="center"/>
              <w:rPr>
                <w:rFonts w:ascii="Arial" w:eastAsia="Times New Roman" w:hAnsi="Arial" w:cs="Arial"/>
                <w:b/>
                <w:color w:val="000000"/>
                <w:sz w:val="16"/>
                <w:szCs w:val="16"/>
                <w:lang w:val="en-GB" w:eastAsia="en-GB"/>
              </w:rPr>
            </w:pPr>
            <w:r w:rsidRPr="00DF78A5">
              <w:rPr>
                <w:rFonts w:ascii="Arial" w:eastAsia="Times New Roman" w:hAnsi="Arial" w:cs="Arial"/>
                <w:b/>
                <w:color w:val="000000"/>
                <w:sz w:val="16"/>
                <w:szCs w:val="16"/>
                <w:lang w:val="en-GB" w:eastAsia="en-GB"/>
              </w:rPr>
              <w:t>&lt;0.01</w:t>
            </w:r>
          </w:p>
        </w:tc>
        <w:tc>
          <w:tcPr>
            <w:tcW w:w="1418" w:type="dxa"/>
            <w:tcBorders>
              <w:top w:val="nil"/>
              <w:left w:val="single" w:sz="4" w:space="0" w:color="auto"/>
              <w:bottom w:val="nil"/>
              <w:right w:val="nil"/>
            </w:tcBorders>
            <w:shd w:val="clear" w:color="auto" w:fill="auto"/>
            <w:noWrap/>
            <w:vAlign w:val="center"/>
            <w:hideMark/>
          </w:tcPr>
          <w:p w14:paraId="1CA887D8" w14:textId="77777777" w:rsidR="00DF78A5" w:rsidRPr="00DF78A5" w:rsidRDefault="00DF78A5" w:rsidP="00DF78A5">
            <w:pPr>
              <w:spacing w:after="0" w:line="240" w:lineRule="auto"/>
              <w:jc w:val="center"/>
              <w:rPr>
                <w:rFonts w:ascii="Arial" w:eastAsia="Times New Roman" w:hAnsi="Arial" w:cs="Arial"/>
                <w:b/>
                <w:color w:val="000000"/>
                <w:sz w:val="16"/>
                <w:szCs w:val="16"/>
                <w:lang w:val="en-GB" w:eastAsia="en-GB"/>
              </w:rPr>
            </w:pPr>
            <w:r w:rsidRPr="00DF78A5">
              <w:rPr>
                <w:rFonts w:ascii="Arial" w:eastAsia="Times New Roman" w:hAnsi="Arial" w:cs="Arial"/>
                <w:b/>
                <w:color w:val="000000"/>
                <w:sz w:val="16"/>
                <w:szCs w:val="16"/>
                <w:lang w:val="en-GB" w:eastAsia="en-GB"/>
              </w:rPr>
              <w:t>4.5 (2.5-8.0)</w:t>
            </w:r>
          </w:p>
        </w:tc>
        <w:tc>
          <w:tcPr>
            <w:tcW w:w="708" w:type="dxa"/>
            <w:tcBorders>
              <w:top w:val="nil"/>
              <w:left w:val="nil"/>
              <w:bottom w:val="nil"/>
              <w:right w:val="single" w:sz="4" w:space="0" w:color="auto"/>
            </w:tcBorders>
            <w:shd w:val="clear" w:color="auto" w:fill="auto"/>
            <w:noWrap/>
            <w:vAlign w:val="center"/>
            <w:hideMark/>
          </w:tcPr>
          <w:p w14:paraId="08703B72" w14:textId="77777777" w:rsidR="00DF78A5" w:rsidRPr="00DF78A5" w:rsidRDefault="00DF78A5" w:rsidP="00DF78A5">
            <w:pPr>
              <w:spacing w:after="0" w:line="240" w:lineRule="auto"/>
              <w:jc w:val="center"/>
              <w:rPr>
                <w:rFonts w:ascii="Arial" w:eastAsia="Times New Roman" w:hAnsi="Arial" w:cs="Arial"/>
                <w:b/>
                <w:color w:val="000000"/>
                <w:sz w:val="16"/>
                <w:szCs w:val="16"/>
                <w:lang w:val="en-GB" w:eastAsia="en-GB"/>
              </w:rPr>
            </w:pPr>
            <w:r w:rsidRPr="00DF78A5">
              <w:rPr>
                <w:rFonts w:ascii="Arial" w:eastAsia="Times New Roman" w:hAnsi="Arial" w:cs="Arial"/>
                <w:b/>
                <w:color w:val="000000"/>
                <w:sz w:val="16"/>
                <w:szCs w:val="16"/>
                <w:lang w:val="en-GB" w:eastAsia="en-GB"/>
              </w:rPr>
              <w:t>&lt;0.01</w:t>
            </w:r>
          </w:p>
        </w:tc>
      </w:tr>
      <w:tr w:rsidR="00DF78A5" w:rsidRPr="00DF78A5" w14:paraId="39B08C89" w14:textId="77777777" w:rsidTr="00307721">
        <w:trPr>
          <w:trHeight w:val="300"/>
        </w:trPr>
        <w:tc>
          <w:tcPr>
            <w:tcW w:w="1418" w:type="dxa"/>
            <w:tcBorders>
              <w:top w:val="nil"/>
              <w:left w:val="nil"/>
              <w:bottom w:val="nil"/>
              <w:right w:val="nil"/>
            </w:tcBorders>
            <w:shd w:val="clear" w:color="auto" w:fill="auto"/>
            <w:noWrap/>
            <w:vAlign w:val="center"/>
            <w:hideMark/>
          </w:tcPr>
          <w:p w14:paraId="5FBA4A61" w14:textId="77777777" w:rsidR="00DF78A5" w:rsidRPr="00DF78A5" w:rsidRDefault="00DF78A5" w:rsidP="00DF78A5">
            <w:pPr>
              <w:spacing w:after="0" w:line="240" w:lineRule="auto"/>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 xml:space="preserve">  Free State</w:t>
            </w:r>
          </w:p>
        </w:tc>
        <w:tc>
          <w:tcPr>
            <w:tcW w:w="1621" w:type="dxa"/>
            <w:tcBorders>
              <w:top w:val="nil"/>
              <w:left w:val="nil"/>
              <w:bottom w:val="nil"/>
              <w:right w:val="nil"/>
            </w:tcBorders>
            <w:shd w:val="clear" w:color="auto" w:fill="auto"/>
            <w:noWrap/>
            <w:vAlign w:val="center"/>
            <w:hideMark/>
          </w:tcPr>
          <w:p w14:paraId="08C45EDB" w14:textId="6361B568" w:rsidR="00DF78A5" w:rsidRPr="00DF78A5" w:rsidRDefault="00EF0307"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162/2,233 (7</w:t>
            </w:r>
            <w:r w:rsidR="00DF78A5" w:rsidRPr="00DF78A5">
              <w:rPr>
                <w:rFonts w:ascii="Arial" w:eastAsia="Times New Roman" w:hAnsi="Arial" w:cs="Arial"/>
                <w:color w:val="000000"/>
                <w:sz w:val="16"/>
                <w:szCs w:val="16"/>
                <w:lang w:val="en-GB" w:eastAsia="en-GB"/>
              </w:rPr>
              <w:t>)</w:t>
            </w:r>
          </w:p>
        </w:tc>
        <w:tc>
          <w:tcPr>
            <w:tcW w:w="1651" w:type="dxa"/>
            <w:tcBorders>
              <w:top w:val="nil"/>
              <w:left w:val="nil"/>
              <w:bottom w:val="nil"/>
              <w:right w:val="single" w:sz="4" w:space="0" w:color="auto"/>
            </w:tcBorders>
            <w:shd w:val="clear" w:color="auto" w:fill="auto"/>
            <w:noWrap/>
            <w:vAlign w:val="center"/>
            <w:hideMark/>
          </w:tcPr>
          <w:p w14:paraId="7077B572" w14:textId="36013D5F" w:rsidR="00DF78A5" w:rsidRPr="00DF78A5" w:rsidRDefault="00EF0307"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386/6,620 (6</w:t>
            </w:r>
            <w:r w:rsidR="00DF78A5" w:rsidRPr="00DF78A5">
              <w:rPr>
                <w:rFonts w:ascii="Arial" w:eastAsia="Times New Roman" w:hAnsi="Arial" w:cs="Arial"/>
                <w:color w:val="000000"/>
                <w:sz w:val="16"/>
                <w:szCs w:val="16"/>
                <w:lang w:val="en-GB" w:eastAsia="en-GB"/>
              </w:rPr>
              <w:t>)</w:t>
            </w:r>
          </w:p>
        </w:tc>
        <w:tc>
          <w:tcPr>
            <w:tcW w:w="1547" w:type="dxa"/>
            <w:tcBorders>
              <w:top w:val="nil"/>
              <w:left w:val="single" w:sz="4" w:space="0" w:color="auto"/>
              <w:bottom w:val="nil"/>
              <w:right w:val="nil"/>
            </w:tcBorders>
            <w:shd w:val="clear" w:color="auto" w:fill="auto"/>
            <w:noWrap/>
            <w:vAlign w:val="center"/>
            <w:hideMark/>
          </w:tcPr>
          <w:p w14:paraId="3B78D7F7" w14:textId="77777777" w:rsidR="00DF78A5" w:rsidRPr="00DF78A5" w:rsidRDefault="00DF78A5" w:rsidP="00DF78A5">
            <w:pPr>
              <w:spacing w:after="0" w:line="240" w:lineRule="auto"/>
              <w:jc w:val="center"/>
              <w:rPr>
                <w:rFonts w:ascii="Arial" w:eastAsia="Times New Roman" w:hAnsi="Arial" w:cs="Arial"/>
                <w:b/>
                <w:color w:val="000000"/>
                <w:sz w:val="16"/>
                <w:szCs w:val="16"/>
                <w:lang w:val="en-GB" w:eastAsia="en-GB"/>
              </w:rPr>
            </w:pPr>
            <w:r w:rsidRPr="00DF78A5">
              <w:rPr>
                <w:rFonts w:ascii="Arial" w:eastAsia="Times New Roman" w:hAnsi="Arial" w:cs="Arial"/>
                <w:b/>
                <w:color w:val="000000"/>
                <w:sz w:val="16"/>
                <w:szCs w:val="16"/>
                <w:lang w:val="en-GB" w:eastAsia="en-GB"/>
              </w:rPr>
              <w:t>1.8 (1.4-2.3)</w:t>
            </w:r>
          </w:p>
        </w:tc>
        <w:tc>
          <w:tcPr>
            <w:tcW w:w="709" w:type="dxa"/>
            <w:tcBorders>
              <w:top w:val="nil"/>
              <w:left w:val="nil"/>
              <w:bottom w:val="nil"/>
              <w:right w:val="single" w:sz="4" w:space="0" w:color="auto"/>
            </w:tcBorders>
            <w:shd w:val="clear" w:color="auto" w:fill="auto"/>
            <w:noWrap/>
            <w:vAlign w:val="center"/>
            <w:hideMark/>
          </w:tcPr>
          <w:p w14:paraId="2601FAD2" w14:textId="77777777" w:rsidR="00DF78A5" w:rsidRPr="00DF78A5" w:rsidRDefault="00DF78A5" w:rsidP="00DF78A5">
            <w:pPr>
              <w:spacing w:after="0" w:line="240" w:lineRule="auto"/>
              <w:jc w:val="center"/>
              <w:rPr>
                <w:rFonts w:ascii="Arial" w:eastAsia="Times New Roman" w:hAnsi="Arial" w:cs="Arial"/>
                <w:b/>
                <w:color w:val="000000"/>
                <w:sz w:val="16"/>
                <w:szCs w:val="16"/>
                <w:lang w:val="en-GB" w:eastAsia="en-GB"/>
              </w:rPr>
            </w:pPr>
            <w:r w:rsidRPr="00DF78A5">
              <w:rPr>
                <w:rFonts w:ascii="Arial" w:eastAsia="Times New Roman" w:hAnsi="Arial" w:cs="Arial"/>
                <w:b/>
                <w:color w:val="000000"/>
                <w:sz w:val="16"/>
                <w:szCs w:val="16"/>
                <w:lang w:val="en-GB" w:eastAsia="en-GB"/>
              </w:rPr>
              <w:t>&lt;0.01</w:t>
            </w:r>
          </w:p>
        </w:tc>
        <w:tc>
          <w:tcPr>
            <w:tcW w:w="1418" w:type="dxa"/>
            <w:tcBorders>
              <w:top w:val="nil"/>
              <w:left w:val="single" w:sz="4" w:space="0" w:color="auto"/>
              <w:bottom w:val="nil"/>
              <w:right w:val="nil"/>
            </w:tcBorders>
            <w:shd w:val="clear" w:color="auto" w:fill="auto"/>
            <w:noWrap/>
            <w:vAlign w:val="center"/>
            <w:hideMark/>
          </w:tcPr>
          <w:p w14:paraId="350006D5" w14:textId="77777777" w:rsidR="00DF78A5" w:rsidRPr="00DF78A5" w:rsidRDefault="00DF78A5" w:rsidP="00DF78A5">
            <w:pPr>
              <w:spacing w:after="0" w:line="240" w:lineRule="auto"/>
              <w:jc w:val="center"/>
              <w:rPr>
                <w:rFonts w:ascii="Arial" w:eastAsia="Times New Roman" w:hAnsi="Arial" w:cs="Arial"/>
                <w:b/>
                <w:color w:val="000000"/>
                <w:sz w:val="16"/>
                <w:szCs w:val="16"/>
                <w:lang w:val="en-GB" w:eastAsia="en-GB"/>
              </w:rPr>
            </w:pPr>
            <w:r w:rsidRPr="00DF78A5">
              <w:rPr>
                <w:rFonts w:ascii="Arial" w:eastAsia="Times New Roman" w:hAnsi="Arial" w:cs="Arial"/>
                <w:b/>
                <w:color w:val="000000"/>
                <w:sz w:val="16"/>
                <w:szCs w:val="16"/>
                <w:lang w:val="en-GB" w:eastAsia="en-GB"/>
              </w:rPr>
              <w:t>2.0 (1.4-2.8)</w:t>
            </w:r>
          </w:p>
        </w:tc>
        <w:tc>
          <w:tcPr>
            <w:tcW w:w="708" w:type="dxa"/>
            <w:tcBorders>
              <w:top w:val="nil"/>
              <w:left w:val="nil"/>
              <w:bottom w:val="nil"/>
              <w:right w:val="single" w:sz="4" w:space="0" w:color="auto"/>
            </w:tcBorders>
            <w:shd w:val="clear" w:color="auto" w:fill="auto"/>
            <w:noWrap/>
            <w:vAlign w:val="center"/>
            <w:hideMark/>
          </w:tcPr>
          <w:p w14:paraId="5D12EA3A" w14:textId="77777777" w:rsidR="00DF78A5" w:rsidRPr="00DF78A5" w:rsidRDefault="00DF78A5" w:rsidP="00DF78A5">
            <w:pPr>
              <w:spacing w:after="0" w:line="240" w:lineRule="auto"/>
              <w:jc w:val="center"/>
              <w:rPr>
                <w:rFonts w:ascii="Arial" w:eastAsia="Times New Roman" w:hAnsi="Arial" w:cs="Arial"/>
                <w:b/>
                <w:color w:val="000000"/>
                <w:sz w:val="16"/>
                <w:szCs w:val="16"/>
                <w:lang w:val="en-GB" w:eastAsia="en-GB"/>
              </w:rPr>
            </w:pPr>
            <w:r w:rsidRPr="00DF78A5">
              <w:rPr>
                <w:rFonts w:ascii="Arial" w:eastAsia="Times New Roman" w:hAnsi="Arial" w:cs="Arial"/>
                <w:b/>
                <w:color w:val="000000"/>
                <w:sz w:val="16"/>
                <w:szCs w:val="16"/>
                <w:lang w:val="en-GB" w:eastAsia="en-GB"/>
              </w:rPr>
              <w:t>&lt;0.01</w:t>
            </w:r>
          </w:p>
        </w:tc>
      </w:tr>
      <w:tr w:rsidR="00DF78A5" w:rsidRPr="00DF78A5" w14:paraId="5FC74CDD" w14:textId="77777777" w:rsidTr="00307721">
        <w:trPr>
          <w:trHeight w:val="300"/>
        </w:trPr>
        <w:tc>
          <w:tcPr>
            <w:tcW w:w="1418" w:type="dxa"/>
            <w:tcBorders>
              <w:top w:val="nil"/>
              <w:left w:val="nil"/>
              <w:bottom w:val="nil"/>
              <w:right w:val="nil"/>
            </w:tcBorders>
            <w:shd w:val="clear" w:color="auto" w:fill="auto"/>
            <w:noWrap/>
            <w:vAlign w:val="center"/>
            <w:hideMark/>
          </w:tcPr>
          <w:p w14:paraId="450C38F7" w14:textId="77777777" w:rsidR="00DF78A5" w:rsidRPr="00DF78A5" w:rsidRDefault="00DF78A5" w:rsidP="00DF78A5">
            <w:pPr>
              <w:spacing w:after="0" w:line="240" w:lineRule="auto"/>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 xml:space="preserve">  Gauteng</w:t>
            </w:r>
          </w:p>
        </w:tc>
        <w:tc>
          <w:tcPr>
            <w:tcW w:w="1621" w:type="dxa"/>
            <w:tcBorders>
              <w:top w:val="nil"/>
              <w:left w:val="nil"/>
              <w:bottom w:val="nil"/>
              <w:right w:val="nil"/>
            </w:tcBorders>
            <w:shd w:val="clear" w:color="auto" w:fill="auto"/>
            <w:noWrap/>
            <w:vAlign w:val="center"/>
            <w:hideMark/>
          </w:tcPr>
          <w:p w14:paraId="00F2235E" w14:textId="531FAA09" w:rsidR="00DF78A5" w:rsidRPr="00DF78A5" w:rsidRDefault="00EF0307"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960/2,233 (43</w:t>
            </w:r>
            <w:r w:rsidR="00DF78A5" w:rsidRPr="00DF78A5">
              <w:rPr>
                <w:rFonts w:ascii="Arial" w:eastAsia="Times New Roman" w:hAnsi="Arial" w:cs="Arial"/>
                <w:color w:val="000000"/>
                <w:sz w:val="16"/>
                <w:szCs w:val="16"/>
                <w:lang w:val="en-GB" w:eastAsia="en-GB"/>
              </w:rPr>
              <w:t>)</w:t>
            </w:r>
          </w:p>
        </w:tc>
        <w:tc>
          <w:tcPr>
            <w:tcW w:w="1651" w:type="dxa"/>
            <w:tcBorders>
              <w:top w:val="nil"/>
              <w:left w:val="nil"/>
              <w:bottom w:val="nil"/>
              <w:right w:val="single" w:sz="4" w:space="0" w:color="auto"/>
            </w:tcBorders>
            <w:shd w:val="clear" w:color="auto" w:fill="auto"/>
            <w:noWrap/>
            <w:vAlign w:val="center"/>
            <w:hideMark/>
          </w:tcPr>
          <w:p w14:paraId="64437323" w14:textId="0244F0F3" w:rsidR="00DF78A5" w:rsidRPr="00DF78A5" w:rsidRDefault="00EF0307"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3,863/6,620 (58</w:t>
            </w:r>
            <w:r w:rsidR="00DF78A5" w:rsidRPr="00DF78A5">
              <w:rPr>
                <w:rFonts w:ascii="Arial" w:eastAsia="Times New Roman" w:hAnsi="Arial" w:cs="Arial"/>
                <w:color w:val="000000"/>
                <w:sz w:val="16"/>
                <w:szCs w:val="16"/>
                <w:lang w:val="en-GB" w:eastAsia="en-GB"/>
              </w:rPr>
              <w:t>)</w:t>
            </w:r>
          </w:p>
        </w:tc>
        <w:tc>
          <w:tcPr>
            <w:tcW w:w="1547" w:type="dxa"/>
            <w:tcBorders>
              <w:top w:val="nil"/>
              <w:left w:val="single" w:sz="4" w:space="0" w:color="auto"/>
              <w:bottom w:val="nil"/>
              <w:right w:val="nil"/>
            </w:tcBorders>
            <w:shd w:val="clear" w:color="auto" w:fill="auto"/>
            <w:noWrap/>
            <w:vAlign w:val="center"/>
            <w:hideMark/>
          </w:tcPr>
          <w:p w14:paraId="0AA4E315" w14:textId="77777777"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1.1 (0.9-1.3)</w:t>
            </w:r>
          </w:p>
        </w:tc>
        <w:tc>
          <w:tcPr>
            <w:tcW w:w="709" w:type="dxa"/>
            <w:tcBorders>
              <w:top w:val="nil"/>
              <w:left w:val="nil"/>
              <w:bottom w:val="nil"/>
              <w:right w:val="single" w:sz="4" w:space="0" w:color="auto"/>
            </w:tcBorders>
            <w:shd w:val="clear" w:color="auto" w:fill="auto"/>
            <w:noWrap/>
            <w:vAlign w:val="center"/>
            <w:hideMark/>
          </w:tcPr>
          <w:p w14:paraId="72A841A4" w14:textId="77777777"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0.40</w:t>
            </w:r>
          </w:p>
        </w:tc>
        <w:tc>
          <w:tcPr>
            <w:tcW w:w="1418" w:type="dxa"/>
            <w:tcBorders>
              <w:top w:val="nil"/>
              <w:left w:val="single" w:sz="4" w:space="0" w:color="auto"/>
              <w:bottom w:val="nil"/>
              <w:right w:val="nil"/>
            </w:tcBorders>
            <w:shd w:val="clear" w:color="auto" w:fill="auto"/>
            <w:noWrap/>
            <w:vAlign w:val="center"/>
            <w:hideMark/>
          </w:tcPr>
          <w:p w14:paraId="3BEB2671" w14:textId="77777777" w:rsidR="00DF78A5" w:rsidRPr="00DF78A5" w:rsidRDefault="00DF78A5" w:rsidP="00DF78A5">
            <w:pPr>
              <w:spacing w:after="0" w:line="240" w:lineRule="auto"/>
              <w:jc w:val="center"/>
              <w:rPr>
                <w:rFonts w:ascii="Arial" w:eastAsia="Times New Roman" w:hAnsi="Arial" w:cs="Arial"/>
                <w:b/>
                <w:color w:val="000000"/>
                <w:sz w:val="16"/>
                <w:szCs w:val="16"/>
                <w:lang w:val="en-GB" w:eastAsia="en-GB"/>
              </w:rPr>
            </w:pPr>
            <w:r w:rsidRPr="00DF78A5">
              <w:rPr>
                <w:rFonts w:ascii="Arial" w:eastAsia="Times New Roman" w:hAnsi="Arial" w:cs="Arial"/>
                <w:b/>
                <w:color w:val="000000"/>
                <w:sz w:val="16"/>
                <w:szCs w:val="16"/>
                <w:lang w:val="en-GB" w:eastAsia="en-GB"/>
              </w:rPr>
              <w:t>1.6 (1.3-2.1)</w:t>
            </w:r>
          </w:p>
        </w:tc>
        <w:tc>
          <w:tcPr>
            <w:tcW w:w="708" w:type="dxa"/>
            <w:tcBorders>
              <w:top w:val="nil"/>
              <w:left w:val="nil"/>
              <w:bottom w:val="nil"/>
              <w:right w:val="single" w:sz="4" w:space="0" w:color="auto"/>
            </w:tcBorders>
            <w:shd w:val="clear" w:color="auto" w:fill="auto"/>
            <w:noWrap/>
            <w:vAlign w:val="center"/>
            <w:hideMark/>
          </w:tcPr>
          <w:p w14:paraId="472E8C40" w14:textId="77777777" w:rsidR="00DF78A5" w:rsidRPr="00DF78A5" w:rsidRDefault="00DF78A5" w:rsidP="00DF78A5">
            <w:pPr>
              <w:spacing w:after="0" w:line="240" w:lineRule="auto"/>
              <w:jc w:val="center"/>
              <w:rPr>
                <w:rFonts w:ascii="Arial" w:eastAsia="Times New Roman" w:hAnsi="Arial" w:cs="Arial"/>
                <w:b/>
                <w:color w:val="000000"/>
                <w:sz w:val="16"/>
                <w:szCs w:val="16"/>
                <w:lang w:val="en-GB" w:eastAsia="en-GB"/>
              </w:rPr>
            </w:pPr>
            <w:r w:rsidRPr="00DF78A5">
              <w:rPr>
                <w:rFonts w:ascii="Arial" w:eastAsia="Times New Roman" w:hAnsi="Arial" w:cs="Arial"/>
                <w:b/>
                <w:color w:val="000000"/>
                <w:sz w:val="16"/>
                <w:szCs w:val="16"/>
                <w:lang w:val="en-GB" w:eastAsia="en-GB"/>
              </w:rPr>
              <w:t>&lt;0.01</w:t>
            </w:r>
          </w:p>
        </w:tc>
      </w:tr>
      <w:tr w:rsidR="00DF78A5" w:rsidRPr="00DF78A5" w14:paraId="37BB1CCA" w14:textId="77777777" w:rsidTr="00307721">
        <w:trPr>
          <w:trHeight w:val="300"/>
        </w:trPr>
        <w:tc>
          <w:tcPr>
            <w:tcW w:w="1418" w:type="dxa"/>
            <w:tcBorders>
              <w:top w:val="nil"/>
              <w:left w:val="nil"/>
              <w:bottom w:val="nil"/>
              <w:right w:val="nil"/>
            </w:tcBorders>
            <w:shd w:val="clear" w:color="auto" w:fill="auto"/>
            <w:noWrap/>
            <w:vAlign w:val="center"/>
            <w:hideMark/>
          </w:tcPr>
          <w:p w14:paraId="7BDC9D69" w14:textId="77777777" w:rsidR="00DF78A5" w:rsidRPr="00DF78A5" w:rsidRDefault="00DF78A5" w:rsidP="00DF78A5">
            <w:pPr>
              <w:spacing w:after="0" w:line="240" w:lineRule="auto"/>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 xml:space="preserve">  KwaZulu-Natal</w:t>
            </w:r>
          </w:p>
        </w:tc>
        <w:tc>
          <w:tcPr>
            <w:tcW w:w="1621" w:type="dxa"/>
            <w:tcBorders>
              <w:top w:val="nil"/>
              <w:left w:val="nil"/>
              <w:bottom w:val="nil"/>
              <w:right w:val="nil"/>
            </w:tcBorders>
            <w:shd w:val="clear" w:color="auto" w:fill="auto"/>
            <w:noWrap/>
            <w:vAlign w:val="center"/>
            <w:hideMark/>
          </w:tcPr>
          <w:p w14:paraId="598FD142" w14:textId="6BA2B9BD" w:rsidR="00DF78A5" w:rsidRPr="00DF78A5" w:rsidRDefault="00EF0307"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346/2,233 (16</w:t>
            </w:r>
            <w:r w:rsidR="00DF78A5" w:rsidRPr="00DF78A5">
              <w:rPr>
                <w:rFonts w:ascii="Arial" w:eastAsia="Times New Roman" w:hAnsi="Arial" w:cs="Arial"/>
                <w:color w:val="000000"/>
                <w:sz w:val="16"/>
                <w:szCs w:val="16"/>
                <w:lang w:val="en-GB" w:eastAsia="en-GB"/>
              </w:rPr>
              <w:t>)</w:t>
            </w:r>
          </w:p>
        </w:tc>
        <w:tc>
          <w:tcPr>
            <w:tcW w:w="1651" w:type="dxa"/>
            <w:tcBorders>
              <w:top w:val="nil"/>
              <w:left w:val="nil"/>
              <w:bottom w:val="nil"/>
              <w:right w:val="single" w:sz="4" w:space="0" w:color="auto"/>
            </w:tcBorders>
            <w:shd w:val="clear" w:color="auto" w:fill="auto"/>
            <w:noWrap/>
            <w:vAlign w:val="center"/>
            <w:hideMark/>
          </w:tcPr>
          <w:p w14:paraId="7D5BC496" w14:textId="4F2DC43E" w:rsidR="00DF78A5" w:rsidRPr="00DF78A5" w:rsidRDefault="00EF0307"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1,027/6,620 (16</w:t>
            </w:r>
            <w:r w:rsidR="00DF78A5" w:rsidRPr="00DF78A5">
              <w:rPr>
                <w:rFonts w:ascii="Arial" w:eastAsia="Times New Roman" w:hAnsi="Arial" w:cs="Arial"/>
                <w:color w:val="000000"/>
                <w:sz w:val="16"/>
                <w:szCs w:val="16"/>
                <w:lang w:val="en-GB" w:eastAsia="en-GB"/>
              </w:rPr>
              <w:t>)</w:t>
            </w:r>
          </w:p>
        </w:tc>
        <w:tc>
          <w:tcPr>
            <w:tcW w:w="1547" w:type="dxa"/>
            <w:tcBorders>
              <w:top w:val="nil"/>
              <w:left w:val="single" w:sz="4" w:space="0" w:color="auto"/>
              <w:bottom w:val="nil"/>
              <w:right w:val="nil"/>
            </w:tcBorders>
            <w:shd w:val="clear" w:color="auto" w:fill="auto"/>
            <w:noWrap/>
            <w:vAlign w:val="center"/>
            <w:hideMark/>
          </w:tcPr>
          <w:p w14:paraId="4491B91C" w14:textId="77777777" w:rsidR="00DF78A5" w:rsidRPr="00DF78A5" w:rsidRDefault="00DF78A5" w:rsidP="00DF78A5">
            <w:pPr>
              <w:spacing w:after="0" w:line="240" w:lineRule="auto"/>
              <w:jc w:val="center"/>
              <w:rPr>
                <w:rFonts w:ascii="Arial" w:eastAsia="Times New Roman" w:hAnsi="Arial" w:cs="Arial"/>
                <w:b/>
                <w:color w:val="000000"/>
                <w:sz w:val="16"/>
                <w:szCs w:val="16"/>
                <w:lang w:val="en-GB" w:eastAsia="en-GB"/>
              </w:rPr>
            </w:pPr>
            <w:r w:rsidRPr="00DF78A5">
              <w:rPr>
                <w:rFonts w:ascii="Arial" w:eastAsia="Times New Roman" w:hAnsi="Arial" w:cs="Arial"/>
                <w:b/>
                <w:color w:val="000000"/>
                <w:sz w:val="16"/>
                <w:szCs w:val="16"/>
                <w:lang w:val="en-GB" w:eastAsia="en-GB"/>
              </w:rPr>
              <w:t>1.5 (1.2-1.8)</w:t>
            </w:r>
          </w:p>
        </w:tc>
        <w:tc>
          <w:tcPr>
            <w:tcW w:w="709" w:type="dxa"/>
            <w:tcBorders>
              <w:top w:val="nil"/>
              <w:left w:val="nil"/>
              <w:bottom w:val="nil"/>
              <w:right w:val="single" w:sz="4" w:space="0" w:color="auto"/>
            </w:tcBorders>
            <w:shd w:val="clear" w:color="auto" w:fill="auto"/>
            <w:noWrap/>
            <w:vAlign w:val="center"/>
            <w:hideMark/>
          </w:tcPr>
          <w:p w14:paraId="25774283" w14:textId="77777777" w:rsidR="00DF78A5" w:rsidRPr="00DF78A5" w:rsidRDefault="00DF78A5" w:rsidP="00DF78A5">
            <w:pPr>
              <w:spacing w:after="0" w:line="240" w:lineRule="auto"/>
              <w:jc w:val="center"/>
              <w:rPr>
                <w:rFonts w:ascii="Arial" w:eastAsia="Times New Roman" w:hAnsi="Arial" w:cs="Arial"/>
                <w:b/>
                <w:color w:val="000000"/>
                <w:sz w:val="16"/>
                <w:szCs w:val="16"/>
                <w:lang w:val="en-GB" w:eastAsia="en-GB"/>
              </w:rPr>
            </w:pPr>
            <w:r w:rsidRPr="00DF78A5">
              <w:rPr>
                <w:rFonts w:ascii="Arial" w:eastAsia="Times New Roman" w:hAnsi="Arial" w:cs="Arial"/>
                <w:b/>
                <w:color w:val="000000"/>
                <w:sz w:val="16"/>
                <w:szCs w:val="16"/>
                <w:lang w:val="en-GB" w:eastAsia="en-GB"/>
              </w:rPr>
              <w:t>&lt;0.01</w:t>
            </w:r>
          </w:p>
        </w:tc>
        <w:tc>
          <w:tcPr>
            <w:tcW w:w="1418" w:type="dxa"/>
            <w:tcBorders>
              <w:top w:val="nil"/>
              <w:left w:val="single" w:sz="4" w:space="0" w:color="auto"/>
              <w:bottom w:val="nil"/>
              <w:right w:val="nil"/>
            </w:tcBorders>
            <w:shd w:val="clear" w:color="auto" w:fill="auto"/>
            <w:noWrap/>
            <w:vAlign w:val="center"/>
            <w:hideMark/>
          </w:tcPr>
          <w:p w14:paraId="6B3F5F2C" w14:textId="77777777"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1.4 (1.0-2.0)</w:t>
            </w:r>
          </w:p>
        </w:tc>
        <w:tc>
          <w:tcPr>
            <w:tcW w:w="708" w:type="dxa"/>
            <w:tcBorders>
              <w:top w:val="nil"/>
              <w:left w:val="nil"/>
              <w:bottom w:val="nil"/>
              <w:right w:val="single" w:sz="4" w:space="0" w:color="auto"/>
            </w:tcBorders>
            <w:shd w:val="clear" w:color="auto" w:fill="auto"/>
            <w:noWrap/>
            <w:vAlign w:val="center"/>
            <w:hideMark/>
          </w:tcPr>
          <w:p w14:paraId="7933150A" w14:textId="77777777"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0.09</w:t>
            </w:r>
          </w:p>
        </w:tc>
      </w:tr>
      <w:tr w:rsidR="00DF78A5" w:rsidRPr="00DF78A5" w14:paraId="60E4CF41" w14:textId="77777777" w:rsidTr="00307721">
        <w:trPr>
          <w:trHeight w:val="300"/>
        </w:trPr>
        <w:tc>
          <w:tcPr>
            <w:tcW w:w="1418" w:type="dxa"/>
            <w:tcBorders>
              <w:top w:val="nil"/>
              <w:left w:val="nil"/>
              <w:bottom w:val="nil"/>
              <w:right w:val="nil"/>
            </w:tcBorders>
            <w:shd w:val="clear" w:color="auto" w:fill="auto"/>
            <w:noWrap/>
            <w:vAlign w:val="center"/>
            <w:hideMark/>
          </w:tcPr>
          <w:p w14:paraId="204C4A7A" w14:textId="77777777" w:rsidR="00DF78A5" w:rsidRPr="00DF78A5" w:rsidRDefault="00DF78A5" w:rsidP="00DF78A5">
            <w:pPr>
              <w:spacing w:after="0" w:line="240" w:lineRule="auto"/>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 xml:space="preserve">  Limpopo</w:t>
            </w:r>
          </w:p>
        </w:tc>
        <w:tc>
          <w:tcPr>
            <w:tcW w:w="1621" w:type="dxa"/>
            <w:tcBorders>
              <w:top w:val="nil"/>
              <w:left w:val="nil"/>
              <w:bottom w:val="nil"/>
              <w:right w:val="nil"/>
            </w:tcBorders>
            <w:shd w:val="clear" w:color="auto" w:fill="auto"/>
            <w:noWrap/>
            <w:vAlign w:val="center"/>
            <w:hideMark/>
          </w:tcPr>
          <w:p w14:paraId="29D1DCAC" w14:textId="338E6782" w:rsidR="00DF78A5" w:rsidRPr="00DF78A5" w:rsidRDefault="00EF0307"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82/2,233 (4</w:t>
            </w:r>
            <w:r w:rsidR="00DF78A5" w:rsidRPr="00DF78A5">
              <w:rPr>
                <w:rFonts w:ascii="Arial" w:eastAsia="Times New Roman" w:hAnsi="Arial" w:cs="Arial"/>
                <w:color w:val="000000"/>
                <w:sz w:val="16"/>
                <w:szCs w:val="16"/>
                <w:lang w:val="en-GB" w:eastAsia="en-GB"/>
              </w:rPr>
              <w:t>)</w:t>
            </w:r>
          </w:p>
        </w:tc>
        <w:tc>
          <w:tcPr>
            <w:tcW w:w="1651" w:type="dxa"/>
            <w:tcBorders>
              <w:top w:val="nil"/>
              <w:left w:val="nil"/>
              <w:bottom w:val="nil"/>
              <w:right w:val="single" w:sz="4" w:space="0" w:color="auto"/>
            </w:tcBorders>
            <w:shd w:val="clear" w:color="auto" w:fill="auto"/>
            <w:noWrap/>
            <w:vAlign w:val="center"/>
            <w:hideMark/>
          </w:tcPr>
          <w:p w14:paraId="730B8EB8" w14:textId="30636AB2"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 xml:space="preserve">60/6,620 </w:t>
            </w:r>
            <w:r w:rsidR="00EF0307" w:rsidRPr="00EF0307">
              <w:rPr>
                <w:rFonts w:ascii="Arial" w:eastAsia="Times New Roman" w:hAnsi="Arial" w:cs="Arial"/>
                <w:color w:val="000000"/>
                <w:sz w:val="16"/>
                <w:szCs w:val="16"/>
                <w:lang w:val="en-GB" w:eastAsia="en-GB"/>
              </w:rPr>
              <w:t>(1</w:t>
            </w:r>
            <w:r w:rsidRPr="00EF0307">
              <w:rPr>
                <w:rFonts w:ascii="Arial" w:eastAsia="Times New Roman" w:hAnsi="Arial" w:cs="Arial"/>
                <w:color w:val="000000"/>
                <w:sz w:val="16"/>
                <w:szCs w:val="16"/>
                <w:lang w:val="en-GB" w:eastAsia="en-GB"/>
              </w:rPr>
              <w:t>)</w:t>
            </w:r>
          </w:p>
        </w:tc>
        <w:tc>
          <w:tcPr>
            <w:tcW w:w="1547" w:type="dxa"/>
            <w:tcBorders>
              <w:top w:val="nil"/>
              <w:left w:val="single" w:sz="4" w:space="0" w:color="auto"/>
              <w:bottom w:val="nil"/>
              <w:right w:val="nil"/>
            </w:tcBorders>
            <w:shd w:val="clear" w:color="auto" w:fill="auto"/>
            <w:noWrap/>
            <w:vAlign w:val="center"/>
            <w:hideMark/>
          </w:tcPr>
          <w:p w14:paraId="1D6F19B0" w14:textId="77777777" w:rsidR="00DF78A5" w:rsidRPr="00DF78A5" w:rsidRDefault="00DF78A5" w:rsidP="00DF78A5">
            <w:pPr>
              <w:spacing w:after="0" w:line="240" w:lineRule="auto"/>
              <w:jc w:val="center"/>
              <w:rPr>
                <w:rFonts w:ascii="Arial" w:eastAsia="Times New Roman" w:hAnsi="Arial" w:cs="Arial"/>
                <w:b/>
                <w:color w:val="000000"/>
                <w:sz w:val="16"/>
                <w:szCs w:val="16"/>
                <w:lang w:val="en-GB" w:eastAsia="en-GB"/>
              </w:rPr>
            </w:pPr>
            <w:r w:rsidRPr="00DF78A5">
              <w:rPr>
                <w:rFonts w:ascii="Arial" w:eastAsia="Times New Roman" w:hAnsi="Arial" w:cs="Arial"/>
                <w:b/>
                <w:color w:val="000000"/>
                <w:sz w:val="16"/>
                <w:szCs w:val="16"/>
                <w:lang w:val="en-GB" w:eastAsia="en-GB"/>
              </w:rPr>
              <w:t>5.9 (4.1-8.5)</w:t>
            </w:r>
          </w:p>
        </w:tc>
        <w:tc>
          <w:tcPr>
            <w:tcW w:w="709" w:type="dxa"/>
            <w:tcBorders>
              <w:top w:val="nil"/>
              <w:left w:val="nil"/>
              <w:bottom w:val="nil"/>
              <w:right w:val="single" w:sz="4" w:space="0" w:color="auto"/>
            </w:tcBorders>
            <w:shd w:val="clear" w:color="auto" w:fill="auto"/>
            <w:noWrap/>
            <w:vAlign w:val="center"/>
            <w:hideMark/>
          </w:tcPr>
          <w:p w14:paraId="4A393DB1" w14:textId="77777777" w:rsidR="00DF78A5" w:rsidRPr="00DF78A5" w:rsidRDefault="00DF78A5" w:rsidP="00DF78A5">
            <w:pPr>
              <w:spacing w:after="0" w:line="240" w:lineRule="auto"/>
              <w:jc w:val="center"/>
              <w:rPr>
                <w:rFonts w:ascii="Arial" w:eastAsia="Times New Roman" w:hAnsi="Arial" w:cs="Arial"/>
                <w:b/>
                <w:color w:val="000000"/>
                <w:sz w:val="16"/>
                <w:szCs w:val="16"/>
                <w:lang w:val="en-GB" w:eastAsia="en-GB"/>
              </w:rPr>
            </w:pPr>
            <w:r w:rsidRPr="00DF78A5">
              <w:rPr>
                <w:rFonts w:ascii="Arial" w:eastAsia="Times New Roman" w:hAnsi="Arial" w:cs="Arial"/>
                <w:b/>
                <w:color w:val="000000"/>
                <w:sz w:val="16"/>
                <w:szCs w:val="16"/>
                <w:lang w:val="en-GB" w:eastAsia="en-GB"/>
              </w:rPr>
              <w:t>&lt;0.01</w:t>
            </w:r>
          </w:p>
        </w:tc>
        <w:tc>
          <w:tcPr>
            <w:tcW w:w="1418" w:type="dxa"/>
            <w:tcBorders>
              <w:top w:val="nil"/>
              <w:left w:val="single" w:sz="4" w:space="0" w:color="auto"/>
              <w:bottom w:val="nil"/>
              <w:right w:val="nil"/>
            </w:tcBorders>
            <w:shd w:val="clear" w:color="auto" w:fill="auto"/>
            <w:noWrap/>
            <w:vAlign w:val="center"/>
            <w:hideMark/>
          </w:tcPr>
          <w:p w14:paraId="11009774" w14:textId="77777777" w:rsidR="00DF78A5" w:rsidRPr="00DF78A5" w:rsidRDefault="00DF78A5" w:rsidP="00DF78A5">
            <w:pPr>
              <w:spacing w:after="0" w:line="240" w:lineRule="auto"/>
              <w:jc w:val="center"/>
              <w:rPr>
                <w:rFonts w:ascii="Arial" w:eastAsia="Times New Roman" w:hAnsi="Arial" w:cs="Arial"/>
                <w:b/>
                <w:color w:val="000000"/>
                <w:sz w:val="16"/>
                <w:szCs w:val="16"/>
                <w:lang w:val="en-GB" w:eastAsia="en-GB"/>
              </w:rPr>
            </w:pPr>
            <w:r w:rsidRPr="00DF78A5">
              <w:rPr>
                <w:rFonts w:ascii="Arial" w:eastAsia="Times New Roman" w:hAnsi="Arial" w:cs="Arial"/>
                <w:b/>
                <w:color w:val="000000"/>
                <w:sz w:val="16"/>
                <w:szCs w:val="16"/>
                <w:lang w:val="en-GB" w:eastAsia="en-GB"/>
              </w:rPr>
              <w:t>4.9 (2.3-10.4)</w:t>
            </w:r>
          </w:p>
        </w:tc>
        <w:tc>
          <w:tcPr>
            <w:tcW w:w="708" w:type="dxa"/>
            <w:tcBorders>
              <w:top w:val="nil"/>
              <w:left w:val="nil"/>
              <w:bottom w:val="nil"/>
              <w:right w:val="single" w:sz="4" w:space="0" w:color="auto"/>
            </w:tcBorders>
            <w:shd w:val="clear" w:color="auto" w:fill="auto"/>
            <w:noWrap/>
            <w:vAlign w:val="center"/>
            <w:hideMark/>
          </w:tcPr>
          <w:p w14:paraId="5EBF030C" w14:textId="77777777" w:rsidR="00DF78A5" w:rsidRPr="00DF78A5" w:rsidRDefault="00DF78A5" w:rsidP="00DF78A5">
            <w:pPr>
              <w:spacing w:after="0" w:line="240" w:lineRule="auto"/>
              <w:jc w:val="center"/>
              <w:rPr>
                <w:rFonts w:ascii="Arial" w:eastAsia="Times New Roman" w:hAnsi="Arial" w:cs="Arial"/>
                <w:b/>
                <w:color w:val="000000"/>
                <w:sz w:val="16"/>
                <w:szCs w:val="16"/>
                <w:lang w:val="en-GB" w:eastAsia="en-GB"/>
              </w:rPr>
            </w:pPr>
            <w:r w:rsidRPr="00DF78A5">
              <w:rPr>
                <w:rFonts w:ascii="Arial" w:eastAsia="Times New Roman" w:hAnsi="Arial" w:cs="Arial"/>
                <w:b/>
                <w:color w:val="000000"/>
                <w:sz w:val="16"/>
                <w:szCs w:val="16"/>
                <w:lang w:val="en-GB" w:eastAsia="en-GB"/>
              </w:rPr>
              <w:t>&lt;0.01</w:t>
            </w:r>
          </w:p>
        </w:tc>
      </w:tr>
      <w:tr w:rsidR="00DF78A5" w:rsidRPr="00DF78A5" w14:paraId="40B81EC7" w14:textId="77777777" w:rsidTr="00307721">
        <w:trPr>
          <w:trHeight w:val="300"/>
        </w:trPr>
        <w:tc>
          <w:tcPr>
            <w:tcW w:w="1418" w:type="dxa"/>
            <w:tcBorders>
              <w:top w:val="nil"/>
              <w:left w:val="nil"/>
              <w:bottom w:val="nil"/>
              <w:right w:val="nil"/>
            </w:tcBorders>
            <w:shd w:val="clear" w:color="auto" w:fill="auto"/>
            <w:noWrap/>
            <w:vAlign w:val="center"/>
            <w:hideMark/>
          </w:tcPr>
          <w:p w14:paraId="44EFE008" w14:textId="77777777" w:rsidR="00DF78A5" w:rsidRPr="00DF78A5" w:rsidRDefault="00DF78A5" w:rsidP="00DF78A5">
            <w:pPr>
              <w:spacing w:after="0" w:line="240" w:lineRule="auto"/>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 xml:space="preserve">  Mpumalanga</w:t>
            </w:r>
          </w:p>
        </w:tc>
        <w:tc>
          <w:tcPr>
            <w:tcW w:w="1621" w:type="dxa"/>
            <w:tcBorders>
              <w:top w:val="nil"/>
              <w:left w:val="nil"/>
              <w:bottom w:val="nil"/>
              <w:right w:val="nil"/>
            </w:tcBorders>
            <w:shd w:val="clear" w:color="auto" w:fill="auto"/>
            <w:noWrap/>
            <w:vAlign w:val="center"/>
            <w:hideMark/>
          </w:tcPr>
          <w:p w14:paraId="41727091" w14:textId="68879726" w:rsidR="00DF78A5" w:rsidRPr="00DF78A5" w:rsidRDefault="00EF0307"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155/2,233 (7</w:t>
            </w:r>
            <w:r w:rsidR="00DF78A5" w:rsidRPr="00DF78A5">
              <w:rPr>
                <w:rFonts w:ascii="Arial" w:eastAsia="Times New Roman" w:hAnsi="Arial" w:cs="Arial"/>
                <w:color w:val="000000"/>
                <w:sz w:val="16"/>
                <w:szCs w:val="16"/>
                <w:lang w:val="en-GB" w:eastAsia="en-GB"/>
              </w:rPr>
              <w:t>)</w:t>
            </w:r>
          </w:p>
        </w:tc>
        <w:tc>
          <w:tcPr>
            <w:tcW w:w="1651" w:type="dxa"/>
            <w:tcBorders>
              <w:top w:val="nil"/>
              <w:left w:val="nil"/>
              <w:bottom w:val="nil"/>
              <w:right w:val="single" w:sz="4" w:space="0" w:color="auto"/>
            </w:tcBorders>
            <w:shd w:val="clear" w:color="auto" w:fill="auto"/>
            <w:noWrap/>
            <w:vAlign w:val="center"/>
            <w:hideMark/>
          </w:tcPr>
          <w:p w14:paraId="5E554676" w14:textId="398D6B19" w:rsidR="00DF78A5" w:rsidRPr="00DF78A5" w:rsidRDefault="00EF0307"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102/6,620 (2</w:t>
            </w:r>
            <w:r w:rsidR="00DF78A5" w:rsidRPr="00DF78A5">
              <w:rPr>
                <w:rFonts w:ascii="Arial" w:eastAsia="Times New Roman" w:hAnsi="Arial" w:cs="Arial"/>
                <w:color w:val="000000"/>
                <w:sz w:val="16"/>
                <w:szCs w:val="16"/>
                <w:lang w:val="en-GB" w:eastAsia="en-GB"/>
              </w:rPr>
              <w:t>)</w:t>
            </w:r>
          </w:p>
        </w:tc>
        <w:tc>
          <w:tcPr>
            <w:tcW w:w="1547" w:type="dxa"/>
            <w:tcBorders>
              <w:top w:val="nil"/>
              <w:left w:val="single" w:sz="4" w:space="0" w:color="auto"/>
              <w:bottom w:val="nil"/>
              <w:right w:val="nil"/>
            </w:tcBorders>
            <w:shd w:val="clear" w:color="auto" w:fill="auto"/>
            <w:noWrap/>
            <w:vAlign w:val="center"/>
            <w:hideMark/>
          </w:tcPr>
          <w:p w14:paraId="087D0A44" w14:textId="77777777" w:rsidR="00DF78A5" w:rsidRPr="00DF78A5" w:rsidRDefault="00DF78A5" w:rsidP="00DF78A5">
            <w:pPr>
              <w:spacing w:after="0" w:line="240" w:lineRule="auto"/>
              <w:jc w:val="center"/>
              <w:rPr>
                <w:rFonts w:ascii="Arial" w:eastAsia="Times New Roman" w:hAnsi="Arial" w:cs="Arial"/>
                <w:b/>
                <w:color w:val="000000"/>
                <w:sz w:val="16"/>
                <w:szCs w:val="16"/>
                <w:lang w:val="en-GB" w:eastAsia="en-GB"/>
              </w:rPr>
            </w:pPr>
            <w:r w:rsidRPr="00DF78A5">
              <w:rPr>
                <w:rFonts w:ascii="Arial" w:eastAsia="Times New Roman" w:hAnsi="Arial" w:cs="Arial"/>
                <w:b/>
                <w:color w:val="000000"/>
                <w:sz w:val="16"/>
                <w:szCs w:val="16"/>
                <w:lang w:val="en-GB" w:eastAsia="en-GB"/>
              </w:rPr>
              <w:t>6.6 (4.9-8.7)</w:t>
            </w:r>
          </w:p>
        </w:tc>
        <w:tc>
          <w:tcPr>
            <w:tcW w:w="709" w:type="dxa"/>
            <w:tcBorders>
              <w:top w:val="nil"/>
              <w:left w:val="nil"/>
              <w:bottom w:val="nil"/>
              <w:right w:val="single" w:sz="4" w:space="0" w:color="auto"/>
            </w:tcBorders>
            <w:shd w:val="clear" w:color="auto" w:fill="auto"/>
            <w:noWrap/>
            <w:vAlign w:val="center"/>
            <w:hideMark/>
          </w:tcPr>
          <w:p w14:paraId="3FFF8DAC" w14:textId="77777777" w:rsidR="00DF78A5" w:rsidRPr="00DF78A5" w:rsidRDefault="00DF78A5" w:rsidP="00DF78A5">
            <w:pPr>
              <w:spacing w:after="0" w:line="240" w:lineRule="auto"/>
              <w:jc w:val="center"/>
              <w:rPr>
                <w:rFonts w:ascii="Arial" w:eastAsia="Times New Roman" w:hAnsi="Arial" w:cs="Arial"/>
                <w:b/>
                <w:color w:val="000000"/>
                <w:sz w:val="16"/>
                <w:szCs w:val="16"/>
                <w:lang w:val="en-GB" w:eastAsia="en-GB"/>
              </w:rPr>
            </w:pPr>
            <w:r w:rsidRPr="00DF78A5">
              <w:rPr>
                <w:rFonts w:ascii="Arial" w:eastAsia="Times New Roman" w:hAnsi="Arial" w:cs="Arial"/>
                <w:b/>
                <w:color w:val="000000"/>
                <w:sz w:val="16"/>
                <w:szCs w:val="16"/>
                <w:lang w:val="en-GB" w:eastAsia="en-GB"/>
              </w:rPr>
              <w:t>&lt;0.01</w:t>
            </w:r>
          </w:p>
        </w:tc>
        <w:tc>
          <w:tcPr>
            <w:tcW w:w="1418" w:type="dxa"/>
            <w:tcBorders>
              <w:top w:val="nil"/>
              <w:left w:val="single" w:sz="4" w:space="0" w:color="auto"/>
              <w:bottom w:val="nil"/>
              <w:right w:val="nil"/>
            </w:tcBorders>
            <w:shd w:val="clear" w:color="auto" w:fill="auto"/>
            <w:noWrap/>
            <w:vAlign w:val="center"/>
            <w:hideMark/>
          </w:tcPr>
          <w:p w14:paraId="49EAD773" w14:textId="77777777" w:rsidR="00DF78A5" w:rsidRPr="00DF78A5" w:rsidRDefault="00DF78A5" w:rsidP="00DF78A5">
            <w:pPr>
              <w:spacing w:after="0" w:line="240" w:lineRule="auto"/>
              <w:jc w:val="center"/>
              <w:rPr>
                <w:rFonts w:ascii="Arial" w:eastAsia="Times New Roman" w:hAnsi="Arial" w:cs="Arial"/>
                <w:b/>
                <w:color w:val="000000"/>
                <w:sz w:val="16"/>
                <w:szCs w:val="16"/>
                <w:lang w:val="en-GB" w:eastAsia="en-GB"/>
              </w:rPr>
            </w:pPr>
            <w:r w:rsidRPr="00DF78A5">
              <w:rPr>
                <w:rFonts w:ascii="Arial" w:eastAsia="Times New Roman" w:hAnsi="Arial" w:cs="Arial"/>
                <w:b/>
                <w:color w:val="000000"/>
                <w:sz w:val="16"/>
                <w:szCs w:val="16"/>
                <w:lang w:val="en-GB" w:eastAsia="en-GB"/>
              </w:rPr>
              <w:t>10.8 (6.1-18.9)</w:t>
            </w:r>
          </w:p>
        </w:tc>
        <w:tc>
          <w:tcPr>
            <w:tcW w:w="708" w:type="dxa"/>
            <w:tcBorders>
              <w:top w:val="nil"/>
              <w:left w:val="nil"/>
              <w:bottom w:val="nil"/>
              <w:right w:val="single" w:sz="4" w:space="0" w:color="auto"/>
            </w:tcBorders>
            <w:shd w:val="clear" w:color="auto" w:fill="auto"/>
            <w:noWrap/>
            <w:vAlign w:val="center"/>
            <w:hideMark/>
          </w:tcPr>
          <w:p w14:paraId="51583A0E" w14:textId="77777777" w:rsidR="00DF78A5" w:rsidRPr="00DF78A5" w:rsidRDefault="00DF78A5" w:rsidP="00DF78A5">
            <w:pPr>
              <w:spacing w:after="0" w:line="240" w:lineRule="auto"/>
              <w:jc w:val="center"/>
              <w:rPr>
                <w:rFonts w:ascii="Arial" w:eastAsia="Times New Roman" w:hAnsi="Arial" w:cs="Arial"/>
                <w:b/>
                <w:color w:val="000000"/>
                <w:sz w:val="16"/>
                <w:szCs w:val="16"/>
                <w:lang w:val="en-GB" w:eastAsia="en-GB"/>
              </w:rPr>
            </w:pPr>
            <w:r w:rsidRPr="00DF78A5">
              <w:rPr>
                <w:rFonts w:ascii="Arial" w:eastAsia="Times New Roman" w:hAnsi="Arial" w:cs="Arial"/>
                <w:b/>
                <w:color w:val="000000"/>
                <w:sz w:val="16"/>
                <w:szCs w:val="16"/>
                <w:lang w:val="en-GB" w:eastAsia="en-GB"/>
              </w:rPr>
              <w:t>&lt;0.01</w:t>
            </w:r>
          </w:p>
        </w:tc>
      </w:tr>
      <w:tr w:rsidR="00DF78A5" w:rsidRPr="00DF78A5" w14:paraId="3F3E331C" w14:textId="77777777" w:rsidTr="00307721">
        <w:trPr>
          <w:trHeight w:val="300"/>
        </w:trPr>
        <w:tc>
          <w:tcPr>
            <w:tcW w:w="1418" w:type="dxa"/>
            <w:tcBorders>
              <w:top w:val="nil"/>
              <w:left w:val="nil"/>
              <w:bottom w:val="nil"/>
              <w:right w:val="nil"/>
            </w:tcBorders>
            <w:shd w:val="clear" w:color="auto" w:fill="auto"/>
            <w:noWrap/>
            <w:vAlign w:val="center"/>
            <w:hideMark/>
          </w:tcPr>
          <w:p w14:paraId="72817D26" w14:textId="77777777" w:rsidR="00DF78A5" w:rsidRPr="00DF78A5" w:rsidRDefault="00DF78A5" w:rsidP="00DF78A5">
            <w:pPr>
              <w:spacing w:after="0" w:line="240" w:lineRule="auto"/>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 xml:space="preserve">  Northern Cape</w:t>
            </w:r>
          </w:p>
        </w:tc>
        <w:tc>
          <w:tcPr>
            <w:tcW w:w="1621" w:type="dxa"/>
            <w:tcBorders>
              <w:top w:val="nil"/>
              <w:left w:val="nil"/>
              <w:bottom w:val="nil"/>
              <w:right w:val="nil"/>
            </w:tcBorders>
            <w:shd w:val="clear" w:color="auto" w:fill="auto"/>
            <w:noWrap/>
            <w:vAlign w:val="center"/>
            <w:hideMark/>
          </w:tcPr>
          <w:p w14:paraId="6CAB183B" w14:textId="401B44F4" w:rsidR="00DF78A5" w:rsidRPr="00DF78A5" w:rsidRDefault="00EF0307"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62/2,233 (3</w:t>
            </w:r>
            <w:r w:rsidR="00DF78A5" w:rsidRPr="00DF78A5">
              <w:rPr>
                <w:rFonts w:ascii="Arial" w:eastAsia="Times New Roman" w:hAnsi="Arial" w:cs="Arial"/>
                <w:color w:val="000000"/>
                <w:sz w:val="16"/>
                <w:szCs w:val="16"/>
                <w:lang w:val="en-GB" w:eastAsia="en-GB"/>
              </w:rPr>
              <w:t>)</w:t>
            </w:r>
          </w:p>
        </w:tc>
        <w:tc>
          <w:tcPr>
            <w:tcW w:w="1651" w:type="dxa"/>
            <w:tcBorders>
              <w:top w:val="nil"/>
              <w:left w:val="nil"/>
              <w:bottom w:val="nil"/>
              <w:right w:val="single" w:sz="4" w:space="0" w:color="auto"/>
            </w:tcBorders>
            <w:shd w:val="clear" w:color="auto" w:fill="auto"/>
            <w:noWrap/>
            <w:vAlign w:val="center"/>
            <w:hideMark/>
          </w:tcPr>
          <w:p w14:paraId="7ACD9254" w14:textId="77527A97" w:rsidR="00DF78A5" w:rsidRPr="00DF78A5" w:rsidRDefault="00EF0307"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83/6,620 (2</w:t>
            </w:r>
            <w:r w:rsidR="00DF78A5" w:rsidRPr="00DF78A5">
              <w:rPr>
                <w:rFonts w:ascii="Arial" w:eastAsia="Times New Roman" w:hAnsi="Arial" w:cs="Arial"/>
                <w:color w:val="000000"/>
                <w:sz w:val="16"/>
                <w:szCs w:val="16"/>
                <w:lang w:val="en-GB" w:eastAsia="en-GB"/>
              </w:rPr>
              <w:t>)</w:t>
            </w:r>
          </w:p>
        </w:tc>
        <w:tc>
          <w:tcPr>
            <w:tcW w:w="1547" w:type="dxa"/>
            <w:tcBorders>
              <w:top w:val="nil"/>
              <w:left w:val="single" w:sz="4" w:space="0" w:color="auto"/>
              <w:bottom w:val="nil"/>
              <w:right w:val="nil"/>
            </w:tcBorders>
            <w:shd w:val="clear" w:color="auto" w:fill="auto"/>
            <w:noWrap/>
            <w:vAlign w:val="center"/>
            <w:hideMark/>
          </w:tcPr>
          <w:p w14:paraId="3B73AD4E" w14:textId="77777777" w:rsidR="00DF78A5" w:rsidRPr="00DF78A5" w:rsidRDefault="00DF78A5" w:rsidP="00DF78A5">
            <w:pPr>
              <w:spacing w:after="0" w:line="240" w:lineRule="auto"/>
              <w:jc w:val="center"/>
              <w:rPr>
                <w:rFonts w:ascii="Arial" w:eastAsia="Times New Roman" w:hAnsi="Arial" w:cs="Arial"/>
                <w:b/>
                <w:color w:val="000000"/>
                <w:sz w:val="16"/>
                <w:szCs w:val="16"/>
                <w:lang w:val="en-GB" w:eastAsia="en-GB"/>
              </w:rPr>
            </w:pPr>
            <w:r w:rsidRPr="00DF78A5">
              <w:rPr>
                <w:rFonts w:ascii="Arial" w:eastAsia="Times New Roman" w:hAnsi="Arial" w:cs="Arial"/>
                <w:b/>
                <w:color w:val="000000"/>
                <w:sz w:val="16"/>
                <w:szCs w:val="16"/>
                <w:lang w:val="en-GB" w:eastAsia="en-GB"/>
              </w:rPr>
              <w:t>3.2 (2.2-4.6)</w:t>
            </w:r>
          </w:p>
        </w:tc>
        <w:tc>
          <w:tcPr>
            <w:tcW w:w="709" w:type="dxa"/>
            <w:tcBorders>
              <w:top w:val="nil"/>
              <w:left w:val="nil"/>
              <w:bottom w:val="nil"/>
              <w:right w:val="single" w:sz="4" w:space="0" w:color="auto"/>
            </w:tcBorders>
            <w:shd w:val="clear" w:color="auto" w:fill="auto"/>
            <w:noWrap/>
            <w:vAlign w:val="center"/>
            <w:hideMark/>
          </w:tcPr>
          <w:p w14:paraId="5FCC6EDD" w14:textId="77777777" w:rsidR="00DF78A5" w:rsidRPr="00DF78A5" w:rsidRDefault="00DF78A5" w:rsidP="00DF78A5">
            <w:pPr>
              <w:spacing w:after="0" w:line="240" w:lineRule="auto"/>
              <w:jc w:val="center"/>
              <w:rPr>
                <w:rFonts w:ascii="Arial" w:eastAsia="Times New Roman" w:hAnsi="Arial" w:cs="Arial"/>
                <w:b/>
                <w:color w:val="000000"/>
                <w:sz w:val="16"/>
                <w:szCs w:val="16"/>
                <w:lang w:val="en-GB" w:eastAsia="en-GB"/>
              </w:rPr>
            </w:pPr>
            <w:r w:rsidRPr="00DF78A5">
              <w:rPr>
                <w:rFonts w:ascii="Arial" w:eastAsia="Times New Roman" w:hAnsi="Arial" w:cs="Arial"/>
                <w:b/>
                <w:color w:val="000000"/>
                <w:sz w:val="16"/>
                <w:szCs w:val="16"/>
                <w:lang w:val="en-GB" w:eastAsia="en-GB"/>
              </w:rPr>
              <w:t>&lt;0.01</w:t>
            </w:r>
          </w:p>
        </w:tc>
        <w:tc>
          <w:tcPr>
            <w:tcW w:w="1418" w:type="dxa"/>
            <w:tcBorders>
              <w:top w:val="nil"/>
              <w:left w:val="single" w:sz="4" w:space="0" w:color="auto"/>
              <w:bottom w:val="nil"/>
              <w:right w:val="nil"/>
            </w:tcBorders>
            <w:shd w:val="clear" w:color="auto" w:fill="auto"/>
            <w:noWrap/>
            <w:vAlign w:val="center"/>
            <w:hideMark/>
          </w:tcPr>
          <w:p w14:paraId="40C5F2D8" w14:textId="77777777" w:rsidR="00DF78A5" w:rsidRPr="00DF78A5" w:rsidRDefault="00DF78A5" w:rsidP="00DF78A5">
            <w:pPr>
              <w:spacing w:after="0" w:line="240" w:lineRule="auto"/>
              <w:jc w:val="center"/>
              <w:rPr>
                <w:rFonts w:ascii="Arial" w:eastAsia="Times New Roman" w:hAnsi="Arial" w:cs="Arial"/>
                <w:b/>
                <w:color w:val="000000"/>
                <w:sz w:val="16"/>
                <w:szCs w:val="16"/>
                <w:lang w:val="en-GB" w:eastAsia="en-GB"/>
              </w:rPr>
            </w:pPr>
            <w:r w:rsidRPr="00DF78A5">
              <w:rPr>
                <w:rFonts w:ascii="Arial" w:eastAsia="Times New Roman" w:hAnsi="Arial" w:cs="Arial"/>
                <w:b/>
                <w:color w:val="000000"/>
                <w:sz w:val="16"/>
                <w:szCs w:val="16"/>
                <w:lang w:val="en-GB" w:eastAsia="en-GB"/>
              </w:rPr>
              <w:t>3.8 (2.0-7.1)</w:t>
            </w:r>
          </w:p>
        </w:tc>
        <w:tc>
          <w:tcPr>
            <w:tcW w:w="708" w:type="dxa"/>
            <w:tcBorders>
              <w:top w:val="nil"/>
              <w:left w:val="nil"/>
              <w:bottom w:val="nil"/>
              <w:right w:val="single" w:sz="4" w:space="0" w:color="auto"/>
            </w:tcBorders>
            <w:shd w:val="clear" w:color="auto" w:fill="auto"/>
            <w:noWrap/>
            <w:vAlign w:val="center"/>
            <w:hideMark/>
          </w:tcPr>
          <w:p w14:paraId="05022B27" w14:textId="77777777" w:rsidR="00DF78A5" w:rsidRPr="00DF78A5" w:rsidRDefault="00DF78A5" w:rsidP="00DF78A5">
            <w:pPr>
              <w:spacing w:after="0" w:line="240" w:lineRule="auto"/>
              <w:jc w:val="center"/>
              <w:rPr>
                <w:rFonts w:ascii="Arial" w:eastAsia="Times New Roman" w:hAnsi="Arial" w:cs="Arial"/>
                <w:b/>
                <w:color w:val="000000"/>
                <w:sz w:val="16"/>
                <w:szCs w:val="16"/>
                <w:lang w:val="en-GB" w:eastAsia="en-GB"/>
              </w:rPr>
            </w:pPr>
            <w:r w:rsidRPr="00DF78A5">
              <w:rPr>
                <w:rFonts w:ascii="Arial" w:eastAsia="Times New Roman" w:hAnsi="Arial" w:cs="Arial"/>
                <w:b/>
                <w:color w:val="000000"/>
                <w:sz w:val="16"/>
                <w:szCs w:val="16"/>
                <w:lang w:val="en-GB" w:eastAsia="en-GB"/>
              </w:rPr>
              <w:t>&lt;0.01</w:t>
            </w:r>
          </w:p>
        </w:tc>
      </w:tr>
      <w:tr w:rsidR="00DF78A5" w:rsidRPr="00DF78A5" w14:paraId="377D3D59" w14:textId="77777777" w:rsidTr="00307721">
        <w:trPr>
          <w:trHeight w:val="300"/>
        </w:trPr>
        <w:tc>
          <w:tcPr>
            <w:tcW w:w="1418" w:type="dxa"/>
            <w:tcBorders>
              <w:top w:val="nil"/>
              <w:left w:val="nil"/>
              <w:bottom w:val="nil"/>
              <w:right w:val="nil"/>
            </w:tcBorders>
            <w:shd w:val="clear" w:color="auto" w:fill="auto"/>
            <w:noWrap/>
            <w:vAlign w:val="center"/>
            <w:hideMark/>
          </w:tcPr>
          <w:p w14:paraId="503B9F00" w14:textId="77777777" w:rsidR="00DF78A5" w:rsidRPr="00DF78A5" w:rsidRDefault="00DF78A5" w:rsidP="00DF78A5">
            <w:pPr>
              <w:spacing w:after="0" w:line="240" w:lineRule="auto"/>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 xml:space="preserve">  North West</w:t>
            </w:r>
          </w:p>
        </w:tc>
        <w:tc>
          <w:tcPr>
            <w:tcW w:w="1621" w:type="dxa"/>
            <w:tcBorders>
              <w:top w:val="nil"/>
              <w:left w:val="nil"/>
              <w:bottom w:val="nil"/>
              <w:right w:val="nil"/>
            </w:tcBorders>
            <w:shd w:val="clear" w:color="auto" w:fill="auto"/>
            <w:noWrap/>
            <w:vAlign w:val="center"/>
            <w:hideMark/>
          </w:tcPr>
          <w:p w14:paraId="1A4F9712" w14:textId="110176A7" w:rsidR="00DF78A5" w:rsidRPr="00DF78A5" w:rsidRDefault="00EF0307"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104/2,233 (5</w:t>
            </w:r>
            <w:r w:rsidR="00DF78A5" w:rsidRPr="00DF78A5">
              <w:rPr>
                <w:rFonts w:ascii="Arial" w:eastAsia="Times New Roman" w:hAnsi="Arial" w:cs="Arial"/>
                <w:color w:val="000000"/>
                <w:sz w:val="16"/>
                <w:szCs w:val="16"/>
                <w:lang w:val="en-GB" w:eastAsia="en-GB"/>
              </w:rPr>
              <w:t>)</w:t>
            </w:r>
          </w:p>
        </w:tc>
        <w:tc>
          <w:tcPr>
            <w:tcW w:w="1651" w:type="dxa"/>
            <w:tcBorders>
              <w:top w:val="nil"/>
              <w:left w:val="nil"/>
              <w:bottom w:val="nil"/>
              <w:right w:val="single" w:sz="4" w:space="0" w:color="auto"/>
            </w:tcBorders>
            <w:shd w:val="clear" w:color="auto" w:fill="auto"/>
            <w:noWrap/>
            <w:vAlign w:val="center"/>
            <w:hideMark/>
          </w:tcPr>
          <w:p w14:paraId="7A635FBB" w14:textId="26D37FEB" w:rsidR="00DF78A5" w:rsidRPr="00DF78A5" w:rsidRDefault="00EF0307"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9/6,620 (0</w:t>
            </w:r>
            <w:r w:rsidR="00DF78A5" w:rsidRPr="00DF78A5">
              <w:rPr>
                <w:rFonts w:ascii="Arial" w:eastAsia="Times New Roman" w:hAnsi="Arial" w:cs="Arial"/>
                <w:color w:val="000000"/>
                <w:sz w:val="16"/>
                <w:szCs w:val="16"/>
                <w:lang w:val="en-GB" w:eastAsia="en-GB"/>
              </w:rPr>
              <w:t>)</w:t>
            </w:r>
          </w:p>
        </w:tc>
        <w:tc>
          <w:tcPr>
            <w:tcW w:w="1547" w:type="dxa"/>
            <w:tcBorders>
              <w:top w:val="nil"/>
              <w:left w:val="single" w:sz="4" w:space="0" w:color="auto"/>
              <w:bottom w:val="nil"/>
              <w:right w:val="nil"/>
            </w:tcBorders>
            <w:shd w:val="clear" w:color="auto" w:fill="auto"/>
            <w:noWrap/>
            <w:vAlign w:val="center"/>
            <w:hideMark/>
          </w:tcPr>
          <w:p w14:paraId="515C931A" w14:textId="77777777" w:rsidR="00DF78A5" w:rsidRPr="00DF78A5" w:rsidRDefault="00DF78A5" w:rsidP="00DF78A5">
            <w:pPr>
              <w:spacing w:after="0" w:line="240" w:lineRule="auto"/>
              <w:jc w:val="center"/>
              <w:rPr>
                <w:rFonts w:ascii="Arial" w:eastAsia="Times New Roman" w:hAnsi="Arial" w:cs="Arial"/>
                <w:b/>
                <w:color w:val="000000"/>
                <w:sz w:val="16"/>
                <w:szCs w:val="16"/>
                <w:lang w:val="en-GB" w:eastAsia="en-GB"/>
              </w:rPr>
            </w:pPr>
            <w:r w:rsidRPr="00DF78A5">
              <w:rPr>
                <w:rFonts w:ascii="Arial" w:eastAsia="Times New Roman" w:hAnsi="Arial" w:cs="Arial"/>
                <w:b/>
                <w:color w:val="000000"/>
                <w:sz w:val="16"/>
                <w:szCs w:val="16"/>
                <w:lang w:val="en-GB" w:eastAsia="en-GB"/>
              </w:rPr>
              <w:t>49.8 (24.8-100.0)</w:t>
            </w:r>
          </w:p>
        </w:tc>
        <w:tc>
          <w:tcPr>
            <w:tcW w:w="709" w:type="dxa"/>
            <w:tcBorders>
              <w:top w:val="nil"/>
              <w:left w:val="nil"/>
              <w:bottom w:val="nil"/>
              <w:right w:val="single" w:sz="4" w:space="0" w:color="auto"/>
            </w:tcBorders>
            <w:shd w:val="clear" w:color="auto" w:fill="auto"/>
            <w:noWrap/>
            <w:vAlign w:val="center"/>
            <w:hideMark/>
          </w:tcPr>
          <w:p w14:paraId="6784242F" w14:textId="77777777" w:rsidR="00DF78A5" w:rsidRPr="00DF78A5" w:rsidRDefault="00DF78A5" w:rsidP="00DF78A5">
            <w:pPr>
              <w:spacing w:after="0" w:line="240" w:lineRule="auto"/>
              <w:jc w:val="center"/>
              <w:rPr>
                <w:rFonts w:ascii="Arial" w:eastAsia="Times New Roman" w:hAnsi="Arial" w:cs="Arial"/>
                <w:b/>
                <w:color w:val="000000"/>
                <w:sz w:val="16"/>
                <w:szCs w:val="16"/>
                <w:lang w:val="en-GB" w:eastAsia="en-GB"/>
              </w:rPr>
            </w:pPr>
            <w:r w:rsidRPr="00DF78A5">
              <w:rPr>
                <w:rFonts w:ascii="Arial" w:eastAsia="Times New Roman" w:hAnsi="Arial" w:cs="Arial"/>
                <w:b/>
                <w:color w:val="000000"/>
                <w:sz w:val="16"/>
                <w:szCs w:val="16"/>
                <w:lang w:val="en-GB" w:eastAsia="en-GB"/>
              </w:rPr>
              <w:t>&lt;0.01</w:t>
            </w:r>
          </w:p>
        </w:tc>
        <w:tc>
          <w:tcPr>
            <w:tcW w:w="1418" w:type="dxa"/>
            <w:tcBorders>
              <w:top w:val="nil"/>
              <w:left w:val="single" w:sz="4" w:space="0" w:color="auto"/>
              <w:bottom w:val="nil"/>
              <w:right w:val="nil"/>
            </w:tcBorders>
            <w:shd w:val="clear" w:color="auto" w:fill="auto"/>
            <w:noWrap/>
            <w:vAlign w:val="center"/>
            <w:hideMark/>
          </w:tcPr>
          <w:p w14:paraId="536D13D0" w14:textId="77777777" w:rsidR="00DF78A5" w:rsidRPr="00DF78A5" w:rsidRDefault="00DF78A5" w:rsidP="00DF78A5">
            <w:pPr>
              <w:spacing w:after="0" w:line="240" w:lineRule="auto"/>
              <w:jc w:val="center"/>
              <w:rPr>
                <w:rFonts w:ascii="Arial" w:eastAsia="Times New Roman" w:hAnsi="Arial" w:cs="Arial"/>
                <w:b/>
                <w:color w:val="000000"/>
                <w:sz w:val="16"/>
                <w:szCs w:val="16"/>
                <w:lang w:val="en-GB" w:eastAsia="en-GB"/>
              </w:rPr>
            </w:pPr>
            <w:r w:rsidRPr="00DF78A5">
              <w:rPr>
                <w:rFonts w:ascii="Arial" w:eastAsia="Times New Roman" w:hAnsi="Arial" w:cs="Arial"/>
                <w:b/>
                <w:color w:val="000000"/>
                <w:sz w:val="16"/>
                <w:szCs w:val="16"/>
                <w:lang w:val="en-GB" w:eastAsia="en-GB"/>
              </w:rPr>
              <w:t>21.2 (4.0-111.5)</w:t>
            </w:r>
          </w:p>
        </w:tc>
        <w:tc>
          <w:tcPr>
            <w:tcW w:w="708" w:type="dxa"/>
            <w:tcBorders>
              <w:top w:val="nil"/>
              <w:left w:val="nil"/>
              <w:bottom w:val="nil"/>
              <w:right w:val="single" w:sz="4" w:space="0" w:color="auto"/>
            </w:tcBorders>
            <w:shd w:val="clear" w:color="auto" w:fill="auto"/>
            <w:noWrap/>
            <w:vAlign w:val="center"/>
            <w:hideMark/>
          </w:tcPr>
          <w:p w14:paraId="1A9DEC41" w14:textId="77777777" w:rsidR="00DF78A5" w:rsidRPr="00DF78A5" w:rsidRDefault="00DF78A5" w:rsidP="00DF78A5">
            <w:pPr>
              <w:spacing w:after="0" w:line="240" w:lineRule="auto"/>
              <w:jc w:val="center"/>
              <w:rPr>
                <w:rFonts w:ascii="Arial" w:eastAsia="Times New Roman" w:hAnsi="Arial" w:cs="Arial"/>
                <w:b/>
                <w:color w:val="000000"/>
                <w:sz w:val="16"/>
                <w:szCs w:val="16"/>
                <w:lang w:val="en-GB" w:eastAsia="en-GB"/>
              </w:rPr>
            </w:pPr>
            <w:r w:rsidRPr="00DF78A5">
              <w:rPr>
                <w:rFonts w:ascii="Arial" w:eastAsia="Times New Roman" w:hAnsi="Arial" w:cs="Arial"/>
                <w:b/>
                <w:color w:val="000000"/>
                <w:sz w:val="16"/>
                <w:szCs w:val="16"/>
                <w:lang w:val="en-GB" w:eastAsia="en-GB"/>
              </w:rPr>
              <w:t>&lt;0.01</w:t>
            </w:r>
          </w:p>
        </w:tc>
      </w:tr>
      <w:tr w:rsidR="00DF78A5" w:rsidRPr="00DF78A5" w14:paraId="0E8D5205" w14:textId="77777777" w:rsidTr="00307721">
        <w:trPr>
          <w:trHeight w:val="300"/>
        </w:trPr>
        <w:tc>
          <w:tcPr>
            <w:tcW w:w="1418" w:type="dxa"/>
            <w:tcBorders>
              <w:top w:val="nil"/>
              <w:left w:val="nil"/>
              <w:bottom w:val="nil"/>
              <w:right w:val="nil"/>
            </w:tcBorders>
            <w:shd w:val="clear" w:color="auto" w:fill="auto"/>
            <w:noWrap/>
            <w:vAlign w:val="center"/>
            <w:hideMark/>
          </w:tcPr>
          <w:p w14:paraId="5AA760F6" w14:textId="77777777" w:rsidR="00DF78A5" w:rsidRPr="00DF78A5" w:rsidRDefault="00DF78A5" w:rsidP="00DF78A5">
            <w:pPr>
              <w:spacing w:after="0" w:line="240" w:lineRule="auto"/>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 xml:space="preserve">  Western Cape</w:t>
            </w:r>
          </w:p>
        </w:tc>
        <w:tc>
          <w:tcPr>
            <w:tcW w:w="1621" w:type="dxa"/>
            <w:tcBorders>
              <w:top w:val="nil"/>
              <w:left w:val="nil"/>
              <w:bottom w:val="nil"/>
              <w:right w:val="nil"/>
            </w:tcBorders>
            <w:shd w:val="clear" w:color="auto" w:fill="auto"/>
            <w:noWrap/>
            <w:vAlign w:val="center"/>
            <w:hideMark/>
          </w:tcPr>
          <w:p w14:paraId="623FB134" w14:textId="048EA772" w:rsidR="00DF78A5" w:rsidRPr="00DF78A5" w:rsidRDefault="00EF0307"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227/2,233 (10</w:t>
            </w:r>
            <w:r w:rsidR="00DF78A5" w:rsidRPr="00DF78A5">
              <w:rPr>
                <w:rFonts w:ascii="Arial" w:eastAsia="Times New Roman" w:hAnsi="Arial" w:cs="Arial"/>
                <w:color w:val="000000"/>
                <w:sz w:val="16"/>
                <w:szCs w:val="16"/>
                <w:lang w:val="en-GB" w:eastAsia="en-GB"/>
              </w:rPr>
              <w:t>)</w:t>
            </w:r>
          </w:p>
        </w:tc>
        <w:tc>
          <w:tcPr>
            <w:tcW w:w="1651" w:type="dxa"/>
            <w:tcBorders>
              <w:top w:val="nil"/>
              <w:left w:val="nil"/>
              <w:bottom w:val="nil"/>
              <w:right w:val="single" w:sz="4" w:space="0" w:color="auto"/>
            </w:tcBorders>
            <w:shd w:val="clear" w:color="auto" w:fill="auto"/>
            <w:noWrap/>
            <w:vAlign w:val="center"/>
            <w:hideMark/>
          </w:tcPr>
          <w:p w14:paraId="407E110D" w14:textId="2A60F9CF" w:rsidR="00DF78A5" w:rsidRPr="00DF78A5" w:rsidRDefault="00EF0307"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979/6,620 (15</w:t>
            </w:r>
            <w:r w:rsidR="00DF78A5" w:rsidRPr="00DF78A5">
              <w:rPr>
                <w:rFonts w:ascii="Arial" w:eastAsia="Times New Roman" w:hAnsi="Arial" w:cs="Arial"/>
                <w:color w:val="000000"/>
                <w:sz w:val="16"/>
                <w:szCs w:val="16"/>
                <w:lang w:val="en-GB" w:eastAsia="en-GB"/>
              </w:rPr>
              <w:t>)</w:t>
            </w:r>
          </w:p>
        </w:tc>
        <w:tc>
          <w:tcPr>
            <w:tcW w:w="1547" w:type="dxa"/>
            <w:tcBorders>
              <w:top w:val="nil"/>
              <w:left w:val="single" w:sz="4" w:space="0" w:color="auto"/>
              <w:bottom w:val="nil"/>
              <w:right w:val="nil"/>
            </w:tcBorders>
            <w:shd w:val="clear" w:color="auto" w:fill="auto"/>
            <w:noWrap/>
            <w:vAlign w:val="center"/>
            <w:hideMark/>
          </w:tcPr>
          <w:p w14:paraId="3F60EE8C" w14:textId="77777777"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Reference</w:t>
            </w:r>
          </w:p>
        </w:tc>
        <w:tc>
          <w:tcPr>
            <w:tcW w:w="709" w:type="dxa"/>
            <w:tcBorders>
              <w:top w:val="nil"/>
              <w:left w:val="nil"/>
              <w:bottom w:val="nil"/>
              <w:right w:val="single" w:sz="4" w:space="0" w:color="auto"/>
            </w:tcBorders>
            <w:shd w:val="clear" w:color="auto" w:fill="auto"/>
            <w:noWrap/>
            <w:vAlign w:val="center"/>
            <w:hideMark/>
          </w:tcPr>
          <w:p w14:paraId="04AC4E00" w14:textId="4F084615"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w:t>
            </w:r>
          </w:p>
        </w:tc>
        <w:tc>
          <w:tcPr>
            <w:tcW w:w="1418" w:type="dxa"/>
            <w:tcBorders>
              <w:top w:val="nil"/>
              <w:left w:val="single" w:sz="4" w:space="0" w:color="auto"/>
              <w:bottom w:val="nil"/>
              <w:right w:val="nil"/>
            </w:tcBorders>
            <w:shd w:val="clear" w:color="auto" w:fill="auto"/>
            <w:noWrap/>
            <w:vAlign w:val="center"/>
            <w:hideMark/>
          </w:tcPr>
          <w:p w14:paraId="61390102" w14:textId="77777777"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Reference</w:t>
            </w:r>
          </w:p>
        </w:tc>
        <w:tc>
          <w:tcPr>
            <w:tcW w:w="708" w:type="dxa"/>
            <w:tcBorders>
              <w:top w:val="nil"/>
              <w:left w:val="nil"/>
              <w:bottom w:val="nil"/>
              <w:right w:val="single" w:sz="4" w:space="0" w:color="auto"/>
            </w:tcBorders>
            <w:shd w:val="clear" w:color="auto" w:fill="auto"/>
            <w:noWrap/>
            <w:vAlign w:val="center"/>
            <w:hideMark/>
          </w:tcPr>
          <w:p w14:paraId="62E88D9B" w14:textId="478510C3"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w:t>
            </w:r>
          </w:p>
        </w:tc>
      </w:tr>
      <w:tr w:rsidR="00DF78A5" w:rsidRPr="00DF78A5" w14:paraId="69CCB22F" w14:textId="77777777" w:rsidTr="00307721">
        <w:trPr>
          <w:trHeight w:val="300"/>
        </w:trPr>
        <w:tc>
          <w:tcPr>
            <w:tcW w:w="3039" w:type="dxa"/>
            <w:gridSpan w:val="2"/>
            <w:tcBorders>
              <w:top w:val="nil"/>
              <w:left w:val="nil"/>
              <w:bottom w:val="nil"/>
              <w:right w:val="nil"/>
            </w:tcBorders>
            <w:shd w:val="clear" w:color="auto" w:fill="auto"/>
            <w:noWrap/>
            <w:vAlign w:val="center"/>
            <w:hideMark/>
          </w:tcPr>
          <w:p w14:paraId="61F6109A" w14:textId="4DECAB95" w:rsidR="00DF78A5" w:rsidRPr="00DF78A5" w:rsidRDefault="00DF78A5" w:rsidP="00DF78A5">
            <w:pPr>
              <w:spacing w:after="0" w:line="240" w:lineRule="auto"/>
              <w:rPr>
                <w:rFonts w:ascii="Arial" w:eastAsia="Times New Roman" w:hAnsi="Arial" w:cs="Arial"/>
                <w:color w:val="000000"/>
                <w:sz w:val="16"/>
                <w:szCs w:val="16"/>
                <w:lang w:val="en-GB" w:eastAsia="en-GB"/>
              </w:rPr>
            </w:pPr>
            <w:r w:rsidRPr="00DF78A5">
              <w:rPr>
                <w:rFonts w:ascii="Arial" w:eastAsia="Times New Roman" w:hAnsi="Arial" w:cs="Arial"/>
                <w:b/>
                <w:bCs/>
                <w:color w:val="000000"/>
                <w:sz w:val="16"/>
                <w:szCs w:val="16"/>
                <w:lang w:val="en-GB" w:eastAsia="en-GB"/>
              </w:rPr>
              <w:t>HIV status (N=5,477)</w:t>
            </w:r>
          </w:p>
        </w:tc>
        <w:tc>
          <w:tcPr>
            <w:tcW w:w="1651" w:type="dxa"/>
            <w:tcBorders>
              <w:top w:val="nil"/>
              <w:left w:val="nil"/>
              <w:bottom w:val="nil"/>
              <w:right w:val="single" w:sz="4" w:space="0" w:color="auto"/>
            </w:tcBorders>
            <w:shd w:val="clear" w:color="auto" w:fill="auto"/>
            <w:noWrap/>
            <w:vAlign w:val="center"/>
            <w:hideMark/>
          </w:tcPr>
          <w:p w14:paraId="37E7CA86" w14:textId="2F98931F"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p>
        </w:tc>
        <w:tc>
          <w:tcPr>
            <w:tcW w:w="1547" w:type="dxa"/>
            <w:tcBorders>
              <w:top w:val="nil"/>
              <w:left w:val="single" w:sz="4" w:space="0" w:color="auto"/>
              <w:bottom w:val="nil"/>
              <w:right w:val="nil"/>
            </w:tcBorders>
            <w:shd w:val="clear" w:color="auto" w:fill="auto"/>
            <w:noWrap/>
            <w:vAlign w:val="center"/>
            <w:hideMark/>
          </w:tcPr>
          <w:p w14:paraId="525143B5" w14:textId="0B50CCB4"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p>
        </w:tc>
        <w:tc>
          <w:tcPr>
            <w:tcW w:w="709" w:type="dxa"/>
            <w:tcBorders>
              <w:top w:val="nil"/>
              <w:left w:val="nil"/>
              <w:bottom w:val="nil"/>
              <w:right w:val="single" w:sz="4" w:space="0" w:color="auto"/>
            </w:tcBorders>
            <w:shd w:val="clear" w:color="auto" w:fill="auto"/>
            <w:noWrap/>
            <w:vAlign w:val="center"/>
            <w:hideMark/>
          </w:tcPr>
          <w:p w14:paraId="129F461B" w14:textId="35C9D0F6"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p>
        </w:tc>
        <w:tc>
          <w:tcPr>
            <w:tcW w:w="1418" w:type="dxa"/>
            <w:tcBorders>
              <w:top w:val="nil"/>
              <w:left w:val="single" w:sz="4" w:space="0" w:color="auto"/>
              <w:bottom w:val="nil"/>
              <w:right w:val="nil"/>
            </w:tcBorders>
            <w:shd w:val="clear" w:color="auto" w:fill="auto"/>
            <w:noWrap/>
            <w:vAlign w:val="center"/>
            <w:hideMark/>
          </w:tcPr>
          <w:p w14:paraId="03513B00" w14:textId="1A62305B"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p>
        </w:tc>
        <w:tc>
          <w:tcPr>
            <w:tcW w:w="708" w:type="dxa"/>
            <w:tcBorders>
              <w:top w:val="nil"/>
              <w:left w:val="nil"/>
              <w:bottom w:val="nil"/>
              <w:right w:val="single" w:sz="4" w:space="0" w:color="auto"/>
            </w:tcBorders>
            <w:shd w:val="clear" w:color="auto" w:fill="auto"/>
            <w:noWrap/>
            <w:vAlign w:val="center"/>
            <w:hideMark/>
          </w:tcPr>
          <w:p w14:paraId="5E512386" w14:textId="43E5D55F"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p>
        </w:tc>
      </w:tr>
      <w:tr w:rsidR="00DF78A5" w:rsidRPr="00DF78A5" w14:paraId="2B2A6B34" w14:textId="77777777" w:rsidTr="00307721">
        <w:trPr>
          <w:trHeight w:val="300"/>
        </w:trPr>
        <w:tc>
          <w:tcPr>
            <w:tcW w:w="1418" w:type="dxa"/>
            <w:tcBorders>
              <w:top w:val="nil"/>
              <w:left w:val="nil"/>
              <w:bottom w:val="nil"/>
              <w:right w:val="nil"/>
            </w:tcBorders>
            <w:shd w:val="clear" w:color="auto" w:fill="auto"/>
            <w:noWrap/>
            <w:vAlign w:val="center"/>
            <w:hideMark/>
          </w:tcPr>
          <w:p w14:paraId="6CDC9222" w14:textId="77777777" w:rsidR="00DF78A5" w:rsidRPr="00DF78A5" w:rsidRDefault="00DF78A5" w:rsidP="00DF78A5">
            <w:pPr>
              <w:spacing w:after="0" w:line="240" w:lineRule="auto"/>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 xml:space="preserve">  Uninfected</w:t>
            </w:r>
          </w:p>
        </w:tc>
        <w:tc>
          <w:tcPr>
            <w:tcW w:w="1621" w:type="dxa"/>
            <w:tcBorders>
              <w:top w:val="nil"/>
              <w:left w:val="nil"/>
              <w:bottom w:val="nil"/>
              <w:right w:val="nil"/>
            </w:tcBorders>
            <w:shd w:val="clear" w:color="auto" w:fill="auto"/>
            <w:noWrap/>
            <w:vAlign w:val="center"/>
            <w:hideMark/>
          </w:tcPr>
          <w:p w14:paraId="64DF131E" w14:textId="66E32C5B" w:rsidR="00DF78A5" w:rsidRPr="00DF78A5" w:rsidRDefault="00900286"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278/1,224 (23</w:t>
            </w:r>
            <w:r w:rsidR="00DF78A5" w:rsidRPr="00DF78A5">
              <w:rPr>
                <w:rFonts w:ascii="Arial" w:eastAsia="Times New Roman" w:hAnsi="Arial" w:cs="Arial"/>
                <w:color w:val="000000"/>
                <w:sz w:val="16"/>
                <w:szCs w:val="16"/>
                <w:lang w:val="en-GB" w:eastAsia="en-GB"/>
              </w:rPr>
              <w:t>)</w:t>
            </w:r>
          </w:p>
        </w:tc>
        <w:tc>
          <w:tcPr>
            <w:tcW w:w="1651" w:type="dxa"/>
            <w:tcBorders>
              <w:top w:val="nil"/>
              <w:left w:val="nil"/>
              <w:bottom w:val="nil"/>
              <w:right w:val="single" w:sz="4" w:space="0" w:color="auto"/>
            </w:tcBorders>
            <w:shd w:val="clear" w:color="auto" w:fill="auto"/>
            <w:noWrap/>
            <w:vAlign w:val="center"/>
            <w:hideMark/>
          </w:tcPr>
          <w:p w14:paraId="5CED4DF9" w14:textId="40F88E89" w:rsidR="00DF78A5" w:rsidRPr="00DF78A5" w:rsidRDefault="00900286"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764/4,253 (18</w:t>
            </w:r>
            <w:r w:rsidR="00DF78A5" w:rsidRPr="00DF78A5">
              <w:rPr>
                <w:rFonts w:ascii="Arial" w:eastAsia="Times New Roman" w:hAnsi="Arial" w:cs="Arial"/>
                <w:color w:val="000000"/>
                <w:sz w:val="16"/>
                <w:szCs w:val="16"/>
                <w:lang w:val="en-GB" w:eastAsia="en-GB"/>
              </w:rPr>
              <w:t>)</w:t>
            </w:r>
          </w:p>
        </w:tc>
        <w:tc>
          <w:tcPr>
            <w:tcW w:w="1547" w:type="dxa"/>
            <w:tcBorders>
              <w:top w:val="nil"/>
              <w:left w:val="single" w:sz="4" w:space="0" w:color="auto"/>
              <w:bottom w:val="nil"/>
              <w:right w:val="nil"/>
            </w:tcBorders>
            <w:shd w:val="clear" w:color="auto" w:fill="auto"/>
            <w:noWrap/>
            <w:vAlign w:val="center"/>
            <w:hideMark/>
          </w:tcPr>
          <w:p w14:paraId="16D52EC3" w14:textId="77777777"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Reference</w:t>
            </w:r>
          </w:p>
        </w:tc>
        <w:tc>
          <w:tcPr>
            <w:tcW w:w="709" w:type="dxa"/>
            <w:tcBorders>
              <w:top w:val="nil"/>
              <w:left w:val="nil"/>
              <w:bottom w:val="nil"/>
              <w:right w:val="single" w:sz="4" w:space="0" w:color="auto"/>
            </w:tcBorders>
            <w:shd w:val="clear" w:color="auto" w:fill="auto"/>
            <w:noWrap/>
            <w:vAlign w:val="center"/>
            <w:hideMark/>
          </w:tcPr>
          <w:p w14:paraId="0B6FB87F" w14:textId="32CACDED"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w:t>
            </w:r>
          </w:p>
        </w:tc>
        <w:tc>
          <w:tcPr>
            <w:tcW w:w="1418" w:type="dxa"/>
            <w:tcBorders>
              <w:top w:val="nil"/>
              <w:left w:val="single" w:sz="4" w:space="0" w:color="auto"/>
              <w:bottom w:val="nil"/>
              <w:right w:val="nil"/>
            </w:tcBorders>
            <w:shd w:val="clear" w:color="auto" w:fill="auto"/>
            <w:noWrap/>
            <w:vAlign w:val="center"/>
            <w:hideMark/>
          </w:tcPr>
          <w:p w14:paraId="5805A8D1" w14:textId="77777777"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Reference</w:t>
            </w:r>
          </w:p>
        </w:tc>
        <w:tc>
          <w:tcPr>
            <w:tcW w:w="708" w:type="dxa"/>
            <w:tcBorders>
              <w:top w:val="nil"/>
              <w:left w:val="nil"/>
              <w:bottom w:val="nil"/>
              <w:right w:val="single" w:sz="4" w:space="0" w:color="auto"/>
            </w:tcBorders>
            <w:shd w:val="clear" w:color="auto" w:fill="auto"/>
            <w:noWrap/>
            <w:vAlign w:val="center"/>
            <w:hideMark/>
          </w:tcPr>
          <w:p w14:paraId="6C2A3B1B" w14:textId="41ED8553"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w:t>
            </w:r>
          </w:p>
        </w:tc>
      </w:tr>
      <w:tr w:rsidR="00DF78A5" w:rsidRPr="00DF78A5" w14:paraId="780641F7" w14:textId="77777777" w:rsidTr="00307721">
        <w:trPr>
          <w:trHeight w:val="300"/>
        </w:trPr>
        <w:tc>
          <w:tcPr>
            <w:tcW w:w="1418" w:type="dxa"/>
            <w:tcBorders>
              <w:top w:val="nil"/>
              <w:left w:val="nil"/>
              <w:bottom w:val="nil"/>
              <w:right w:val="nil"/>
            </w:tcBorders>
            <w:shd w:val="clear" w:color="auto" w:fill="auto"/>
            <w:noWrap/>
            <w:vAlign w:val="center"/>
            <w:hideMark/>
          </w:tcPr>
          <w:p w14:paraId="155F6F0D" w14:textId="77777777" w:rsidR="00DF78A5" w:rsidRPr="00DF78A5" w:rsidRDefault="00DF78A5" w:rsidP="00DF78A5">
            <w:pPr>
              <w:spacing w:after="0" w:line="240" w:lineRule="auto"/>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 xml:space="preserve">  Infected</w:t>
            </w:r>
          </w:p>
        </w:tc>
        <w:tc>
          <w:tcPr>
            <w:tcW w:w="1621" w:type="dxa"/>
            <w:tcBorders>
              <w:top w:val="nil"/>
              <w:left w:val="nil"/>
              <w:bottom w:val="nil"/>
              <w:right w:val="nil"/>
            </w:tcBorders>
            <w:shd w:val="clear" w:color="auto" w:fill="auto"/>
            <w:noWrap/>
            <w:vAlign w:val="center"/>
            <w:hideMark/>
          </w:tcPr>
          <w:p w14:paraId="0934124E" w14:textId="5E269931" w:rsidR="00DF78A5" w:rsidRPr="00DF78A5" w:rsidRDefault="00900286" w:rsidP="00900286">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946/1,224 (77</w:t>
            </w:r>
            <w:r w:rsidR="00DF78A5" w:rsidRPr="00DF78A5">
              <w:rPr>
                <w:rFonts w:ascii="Arial" w:eastAsia="Times New Roman" w:hAnsi="Arial" w:cs="Arial"/>
                <w:color w:val="000000"/>
                <w:sz w:val="16"/>
                <w:szCs w:val="16"/>
                <w:lang w:val="en-GB" w:eastAsia="en-GB"/>
              </w:rPr>
              <w:t>)</w:t>
            </w:r>
          </w:p>
        </w:tc>
        <w:tc>
          <w:tcPr>
            <w:tcW w:w="1651" w:type="dxa"/>
            <w:tcBorders>
              <w:top w:val="nil"/>
              <w:left w:val="nil"/>
              <w:bottom w:val="nil"/>
              <w:right w:val="single" w:sz="4" w:space="0" w:color="auto"/>
            </w:tcBorders>
            <w:shd w:val="clear" w:color="auto" w:fill="auto"/>
            <w:noWrap/>
            <w:vAlign w:val="center"/>
            <w:hideMark/>
          </w:tcPr>
          <w:p w14:paraId="2DAEDFE0" w14:textId="29D0DE64" w:rsidR="00DF78A5" w:rsidRPr="00DF78A5" w:rsidRDefault="00900286"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3,489/4,253 (82</w:t>
            </w:r>
            <w:r w:rsidR="00DF78A5" w:rsidRPr="00DF78A5">
              <w:rPr>
                <w:rFonts w:ascii="Arial" w:eastAsia="Times New Roman" w:hAnsi="Arial" w:cs="Arial"/>
                <w:color w:val="000000"/>
                <w:sz w:val="16"/>
                <w:szCs w:val="16"/>
                <w:lang w:val="en-GB" w:eastAsia="en-GB"/>
              </w:rPr>
              <w:t>)</w:t>
            </w:r>
          </w:p>
        </w:tc>
        <w:tc>
          <w:tcPr>
            <w:tcW w:w="1547" w:type="dxa"/>
            <w:tcBorders>
              <w:top w:val="nil"/>
              <w:left w:val="single" w:sz="4" w:space="0" w:color="auto"/>
              <w:bottom w:val="nil"/>
              <w:right w:val="nil"/>
            </w:tcBorders>
            <w:shd w:val="clear" w:color="auto" w:fill="auto"/>
            <w:noWrap/>
            <w:vAlign w:val="center"/>
            <w:hideMark/>
          </w:tcPr>
          <w:p w14:paraId="28CF6E4A" w14:textId="77777777" w:rsidR="00DF78A5" w:rsidRPr="00DF78A5" w:rsidRDefault="00DF78A5" w:rsidP="00DF78A5">
            <w:pPr>
              <w:spacing w:after="0" w:line="240" w:lineRule="auto"/>
              <w:jc w:val="center"/>
              <w:rPr>
                <w:rFonts w:ascii="Arial" w:eastAsia="Times New Roman" w:hAnsi="Arial" w:cs="Arial"/>
                <w:b/>
                <w:color w:val="000000"/>
                <w:sz w:val="16"/>
                <w:szCs w:val="16"/>
                <w:lang w:val="en-GB" w:eastAsia="en-GB"/>
              </w:rPr>
            </w:pPr>
            <w:r w:rsidRPr="00DF78A5">
              <w:rPr>
                <w:rFonts w:ascii="Arial" w:eastAsia="Times New Roman" w:hAnsi="Arial" w:cs="Arial"/>
                <w:b/>
                <w:color w:val="000000"/>
                <w:sz w:val="16"/>
                <w:szCs w:val="16"/>
                <w:lang w:val="en-GB" w:eastAsia="en-GB"/>
              </w:rPr>
              <w:t>0.7 (0.6-0.9)</w:t>
            </w:r>
          </w:p>
        </w:tc>
        <w:tc>
          <w:tcPr>
            <w:tcW w:w="709" w:type="dxa"/>
            <w:tcBorders>
              <w:top w:val="nil"/>
              <w:left w:val="nil"/>
              <w:bottom w:val="nil"/>
              <w:right w:val="single" w:sz="4" w:space="0" w:color="auto"/>
            </w:tcBorders>
            <w:shd w:val="clear" w:color="auto" w:fill="auto"/>
            <w:noWrap/>
            <w:vAlign w:val="center"/>
            <w:hideMark/>
          </w:tcPr>
          <w:p w14:paraId="38C6E586" w14:textId="77777777" w:rsidR="00DF78A5" w:rsidRPr="00DF78A5" w:rsidRDefault="00DF78A5" w:rsidP="00DF78A5">
            <w:pPr>
              <w:spacing w:after="0" w:line="240" w:lineRule="auto"/>
              <w:jc w:val="center"/>
              <w:rPr>
                <w:rFonts w:ascii="Arial" w:eastAsia="Times New Roman" w:hAnsi="Arial" w:cs="Arial"/>
                <w:b/>
                <w:color w:val="000000"/>
                <w:sz w:val="16"/>
                <w:szCs w:val="16"/>
                <w:lang w:val="en-GB" w:eastAsia="en-GB"/>
              </w:rPr>
            </w:pPr>
            <w:r w:rsidRPr="00DF78A5">
              <w:rPr>
                <w:rFonts w:ascii="Arial" w:eastAsia="Times New Roman" w:hAnsi="Arial" w:cs="Arial"/>
                <w:b/>
                <w:color w:val="000000"/>
                <w:sz w:val="16"/>
                <w:szCs w:val="16"/>
                <w:lang w:val="en-GB" w:eastAsia="en-GB"/>
              </w:rPr>
              <w:t>&lt;0.01</w:t>
            </w:r>
          </w:p>
        </w:tc>
        <w:tc>
          <w:tcPr>
            <w:tcW w:w="1418" w:type="dxa"/>
            <w:tcBorders>
              <w:top w:val="nil"/>
              <w:left w:val="single" w:sz="4" w:space="0" w:color="auto"/>
              <w:bottom w:val="nil"/>
              <w:right w:val="nil"/>
            </w:tcBorders>
            <w:shd w:val="clear" w:color="auto" w:fill="auto"/>
            <w:noWrap/>
            <w:vAlign w:val="center"/>
            <w:hideMark/>
          </w:tcPr>
          <w:p w14:paraId="41601AF3" w14:textId="77777777" w:rsidR="00DF78A5" w:rsidRPr="00DF78A5" w:rsidRDefault="00DF78A5" w:rsidP="00DF78A5">
            <w:pPr>
              <w:spacing w:after="0" w:line="240" w:lineRule="auto"/>
              <w:jc w:val="center"/>
              <w:rPr>
                <w:rFonts w:ascii="Arial" w:eastAsia="Times New Roman" w:hAnsi="Arial" w:cs="Arial"/>
                <w:b/>
                <w:color w:val="000000"/>
                <w:sz w:val="16"/>
                <w:szCs w:val="16"/>
                <w:lang w:val="en-GB" w:eastAsia="en-GB"/>
              </w:rPr>
            </w:pPr>
            <w:r w:rsidRPr="00DF78A5">
              <w:rPr>
                <w:rFonts w:ascii="Arial" w:eastAsia="Times New Roman" w:hAnsi="Arial" w:cs="Arial"/>
                <w:b/>
                <w:color w:val="000000"/>
                <w:sz w:val="16"/>
                <w:szCs w:val="16"/>
                <w:lang w:val="en-GB" w:eastAsia="en-GB"/>
              </w:rPr>
              <w:t>0.7 (0.6-0.9)</w:t>
            </w:r>
          </w:p>
        </w:tc>
        <w:tc>
          <w:tcPr>
            <w:tcW w:w="708" w:type="dxa"/>
            <w:tcBorders>
              <w:top w:val="nil"/>
              <w:left w:val="nil"/>
              <w:bottom w:val="nil"/>
              <w:right w:val="single" w:sz="4" w:space="0" w:color="auto"/>
            </w:tcBorders>
            <w:shd w:val="clear" w:color="auto" w:fill="auto"/>
            <w:noWrap/>
            <w:vAlign w:val="center"/>
            <w:hideMark/>
          </w:tcPr>
          <w:p w14:paraId="1EF6AAE1" w14:textId="77777777" w:rsidR="00DF78A5" w:rsidRPr="00DF78A5" w:rsidRDefault="00DF78A5" w:rsidP="00DF78A5">
            <w:pPr>
              <w:spacing w:after="0" w:line="240" w:lineRule="auto"/>
              <w:jc w:val="center"/>
              <w:rPr>
                <w:rFonts w:ascii="Arial" w:eastAsia="Times New Roman" w:hAnsi="Arial" w:cs="Arial"/>
                <w:b/>
                <w:color w:val="000000"/>
                <w:sz w:val="16"/>
                <w:szCs w:val="16"/>
                <w:lang w:val="en-GB" w:eastAsia="en-GB"/>
              </w:rPr>
            </w:pPr>
            <w:r w:rsidRPr="00DF78A5">
              <w:rPr>
                <w:rFonts w:ascii="Arial" w:eastAsia="Times New Roman" w:hAnsi="Arial" w:cs="Arial"/>
                <w:b/>
                <w:color w:val="000000"/>
                <w:sz w:val="16"/>
                <w:szCs w:val="16"/>
                <w:lang w:val="en-GB" w:eastAsia="en-GB"/>
              </w:rPr>
              <w:t>&lt;0.01</w:t>
            </w:r>
          </w:p>
        </w:tc>
      </w:tr>
      <w:tr w:rsidR="00DF78A5" w:rsidRPr="00DF78A5" w14:paraId="5C185272" w14:textId="77777777" w:rsidTr="00307721">
        <w:trPr>
          <w:trHeight w:val="300"/>
        </w:trPr>
        <w:tc>
          <w:tcPr>
            <w:tcW w:w="3039" w:type="dxa"/>
            <w:gridSpan w:val="2"/>
            <w:tcBorders>
              <w:top w:val="nil"/>
              <w:left w:val="nil"/>
              <w:bottom w:val="nil"/>
              <w:right w:val="nil"/>
            </w:tcBorders>
            <w:shd w:val="clear" w:color="auto" w:fill="auto"/>
            <w:noWrap/>
            <w:vAlign w:val="center"/>
            <w:hideMark/>
          </w:tcPr>
          <w:p w14:paraId="43493BD9" w14:textId="12018AFA" w:rsidR="00DF78A5" w:rsidRPr="00DF78A5" w:rsidRDefault="00DF78A5" w:rsidP="006F2AA8">
            <w:pPr>
              <w:spacing w:after="0" w:line="240" w:lineRule="auto"/>
              <w:rPr>
                <w:rFonts w:ascii="Arial" w:eastAsia="Times New Roman" w:hAnsi="Arial" w:cs="Arial"/>
                <w:color w:val="000000"/>
                <w:sz w:val="16"/>
                <w:szCs w:val="16"/>
                <w:lang w:val="en-GB" w:eastAsia="en-GB"/>
              </w:rPr>
            </w:pPr>
            <w:r w:rsidRPr="00DF78A5">
              <w:rPr>
                <w:rFonts w:ascii="Arial" w:eastAsia="Times New Roman" w:hAnsi="Arial" w:cs="Arial"/>
                <w:b/>
                <w:bCs/>
                <w:color w:val="000000"/>
                <w:sz w:val="16"/>
                <w:szCs w:val="16"/>
                <w:lang w:val="en-GB" w:eastAsia="en-GB"/>
              </w:rPr>
              <w:t>Serotype group</w:t>
            </w:r>
            <w:r w:rsidR="006F2AA8" w:rsidRPr="006F2AA8">
              <w:rPr>
                <w:rFonts w:ascii="Arial" w:eastAsia="Times New Roman" w:hAnsi="Arial" w:cs="Arial"/>
                <w:b/>
                <w:bCs/>
                <w:color w:val="000000"/>
                <w:sz w:val="16"/>
                <w:szCs w:val="16"/>
                <w:vertAlign w:val="superscript"/>
                <w:lang w:val="en-GB" w:eastAsia="en-GB"/>
              </w:rPr>
              <w:t>a</w:t>
            </w:r>
            <w:r w:rsidRPr="00DF78A5">
              <w:rPr>
                <w:rFonts w:ascii="Arial" w:eastAsia="Times New Roman" w:hAnsi="Arial" w:cs="Arial"/>
                <w:b/>
                <w:bCs/>
                <w:color w:val="000000"/>
                <w:sz w:val="16"/>
                <w:szCs w:val="16"/>
                <w:lang w:val="en-GB" w:eastAsia="en-GB"/>
              </w:rPr>
              <w:t xml:space="preserve"> (N=6,723)</w:t>
            </w:r>
          </w:p>
        </w:tc>
        <w:tc>
          <w:tcPr>
            <w:tcW w:w="1651" w:type="dxa"/>
            <w:tcBorders>
              <w:top w:val="nil"/>
              <w:left w:val="nil"/>
              <w:bottom w:val="nil"/>
              <w:right w:val="single" w:sz="4" w:space="0" w:color="auto"/>
            </w:tcBorders>
            <w:shd w:val="clear" w:color="auto" w:fill="auto"/>
            <w:noWrap/>
            <w:vAlign w:val="center"/>
            <w:hideMark/>
          </w:tcPr>
          <w:p w14:paraId="6B89BDB6" w14:textId="48B62C6C"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p>
        </w:tc>
        <w:tc>
          <w:tcPr>
            <w:tcW w:w="1547" w:type="dxa"/>
            <w:tcBorders>
              <w:top w:val="nil"/>
              <w:left w:val="single" w:sz="4" w:space="0" w:color="auto"/>
              <w:bottom w:val="nil"/>
              <w:right w:val="nil"/>
            </w:tcBorders>
            <w:shd w:val="clear" w:color="auto" w:fill="auto"/>
            <w:noWrap/>
            <w:vAlign w:val="center"/>
            <w:hideMark/>
          </w:tcPr>
          <w:p w14:paraId="1E3FCCB4" w14:textId="0FD3169C"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p>
        </w:tc>
        <w:tc>
          <w:tcPr>
            <w:tcW w:w="709" w:type="dxa"/>
            <w:tcBorders>
              <w:top w:val="nil"/>
              <w:left w:val="nil"/>
              <w:bottom w:val="nil"/>
              <w:right w:val="single" w:sz="4" w:space="0" w:color="auto"/>
            </w:tcBorders>
            <w:shd w:val="clear" w:color="auto" w:fill="auto"/>
            <w:noWrap/>
            <w:vAlign w:val="center"/>
            <w:hideMark/>
          </w:tcPr>
          <w:p w14:paraId="109CEA4A" w14:textId="30171D50"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p>
        </w:tc>
        <w:tc>
          <w:tcPr>
            <w:tcW w:w="1418" w:type="dxa"/>
            <w:tcBorders>
              <w:top w:val="nil"/>
              <w:left w:val="single" w:sz="4" w:space="0" w:color="auto"/>
              <w:bottom w:val="nil"/>
              <w:right w:val="nil"/>
            </w:tcBorders>
            <w:shd w:val="clear" w:color="auto" w:fill="auto"/>
            <w:noWrap/>
            <w:vAlign w:val="center"/>
            <w:hideMark/>
          </w:tcPr>
          <w:p w14:paraId="6ED4C4A3" w14:textId="01CC5A36"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p>
        </w:tc>
        <w:tc>
          <w:tcPr>
            <w:tcW w:w="708" w:type="dxa"/>
            <w:tcBorders>
              <w:top w:val="nil"/>
              <w:left w:val="nil"/>
              <w:bottom w:val="nil"/>
              <w:right w:val="single" w:sz="4" w:space="0" w:color="auto"/>
            </w:tcBorders>
            <w:shd w:val="clear" w:color="auto" w:fill="auto"/>
            <w:noWrap/>
            <w:vAlign w:val="center"/>
            <w:hideMark/>
          </w:tcPr>
          <w:p w14:paraId="7388A469" w14:textId="17AD7C6C"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p>
        </w:tc>
      </w:tr>
      <w:tr w:rsidR="00DF78A5" w:rsidRPr="00DF78A5" w14:paraId="084A33AA" w14:textId="77777777" w:rsidTr="00307721">
        <w:trPr>
          <w:trHeight w:val="300"/>
        </w:trPr>
        <w:tc>
          <w:tcPr>
            <w:tcW w:w="1418" w:type="dxa"/>
            <w:tcBorders>
              <w:top w:val="nil"/>
              <w:left w:val="nil"/>
              <w:bottom w:val="nil"/>
              <w:right w:val="nil"/>
            </w:tcBorders>
            <w:shd w:val="clear" w:color="auto" w:fill="auto"/>
            <w:noWrap/>
            <w:vAlign w:val="center"/>
            <w:hideMark/>
          </w:tcPr>
          <w:p w14:paraId="2C1FB476" w14:textId="77777777" w:rsidR="00DF78A5" w:rsidRPr="00DF78A5" w:rsidRDefault="00DF78A5" w:rsidP="00DF78A5">
            <w:pPr>
              <w:spacing w:after="0" w:line="240" w:lineRule="auto"/>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 xml:space="preserve">  Non-PCV13</w:t>
            </w:r>
          </w:p>
        </w:tc>
        <w:tc>
          <w:tcPr>
            <w:tcW w:w="1621" w:type="dxa"/>
            <w:tcBorders>
              <w:top w:val="nil"/>
              <w:left w:val="nil"/>
              <w:bottom w:val="nil"/>
              <w:right w:val="nil"/>
            </w:tcBorders>
            <w:shd w:val="clear" w:color="auto" w:fill="auto"/>
            <w:noWrap/>
            <w:vAlign w:val="center"/>
            <w:hideMark/>
          </w:tcPr>
          <w:p w14:paraId="575ACC90" w14:textId="72FF1854" w:rsidR="00DF78A5" w:rsidRPr="00DF78A5" w:rsidRDefault="00900286"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523/1,861 (28</w:t>
            </w:r>
            <w:r w:rsidR="00DF78A5" w:rsidRPr="00DF78A5">
              <w:rPr>
                <w:rFonts w:ascii="Arial" w:eastAsia="Times New Roman" w:hAnsi="Arial" w:cs="Arial"/>
                <w:color w:val="000000"/>
                <w:sz w:val="16"/>
                <w:szCs w:val="16"/>
                <w:lang w:val="en-GB" w:eastAsia="en-GB"/>
              </w:rPr>
              <w:t>)</w:t>
            </w:r>
          </w:p>
        </w:tc>
        <w:tc>
          <w:tcPr>
            <w:tcW w:w="1651" w:type="dxa"/>
            <w:tcBorders>
              <w:top w:val="nil"/>
              <w:left w:val="nil"/>
              <w:bottom w:val="nil"/>
              <w:right w:val="single" w:sz="4" w:space="0" w:color="auto"/>
            </w:tcBorders>
            <w:shd w:val="clear" w:color="auto" w:fill="auto"/>
            <w:noWrap/>
            <w:vAlign w:val="center"/>
            <w:hideMark/>
          </w:tcPr>
          <w:p w14:paraId="516684E8" w14:textId="166B9EA0"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1,128/4,862 (23)</w:t>
            </w:r>
          </w:p>
        </w:tc>
        <w:tc>
          <w:tcPr>
            <w:tcW w:w="1547" w:type="dxa"/>
            <w:tcBorders>
              <w:top w:val="nil"/>
              <w:left w:val="single" w:sz="4" w:space="0" w:color="auto"/>
              <w:bottom w:val="nil"/>
              <w:right w:val="nil"/>
            </w:tcBorders>
            <w:shd w:val="clear" w:color="auto" w:fill="auto"/>
            <w:noWrap/>
            <w:vAlign w:val="center"/>
            <w:hideMark/>
          </w:tcPr>
          <w:p w14:paraId="650594E4" w14:textId="77777777" w:rsidR="00DF78A5" w:rsidRPr="00DF78A5" w:rsidRDefault="00DF78A5" w:rsidP="00DF78A5">
            <w:pPr>
              <w:spacing w:after="0" w:line="240" w:lineRule="auto"/>
              <w:jc w:val="center"/>
              <w:rPr>
                <w:rFonts w:ascii="Arial" w:eastAsia="Times New Roman" w:hAnsi="Arial" w:cs="Arial"/>
                <w:b/>
                <w:color w:val="000000"/>
                <w:sz w:val="16"/>
                <w:szCs w:val="16"/>
                <w:lang w:val="en-GB" w:eastAsia="en-GB"/>
              </w:rPr>
            </w:pPr>
            <w:r w:rsidRPr="00DF78A5">
              <w:rPr>
                <w:rFonts w:ascii="Arial" w:eastAsia="Times New Roman" w:hAnsi="Arial" w:cs="Arial"/>
                <w:b/>
                <w:color w:val="000000"/>
                <w:sz w:val="16"/>
                <w:szCs w:val="16"/>
                <w:lang w:val="en-GB" w:eastAsia="en-GB"/>
              </w:rPr>
              <w:t>1.3 (1.1-1.5)</w:t>
            </w:r>
          </w:p>
        </w:tc>
        <w:tc>
          <w:tcPr>
            <w:tcW w:w="709" w:type="dxa"/>
            <w:tcBorders>
              <w:top w:val="nil"/>
              <w:left w:val="nil"/>
              <w:bottom w:val="nil"/>
              <w:right w:val="single" w:sz="4" w:space="0" w:color="auto"/>
            </w:tcBorders>
            <w:shd w:val="clear" w:color="auto" w:fill="auto"/>
            <w:noWrap/>
            <w:vAlign w:val="center"/>
            <w:hideMark/>
          </w:tcPr>
          <w:p w14:paraId="222DDC27" w14:textId="77777777" w:rsidR="00DF78A5" w:rsidRPr="00DF78A5" w:rsidRDefault="00DF78A5" w:rsidP="00DF78A5">
            <w:pPr>
              <w:spacing w:after="0" w:line="240" w:lineRule="auto"/>
              <w:jc w:val="center"/>
              <w:rPr>
                <w:rFonts w:ascii="Arial" w:eastAsia="Times New Roman" w:hAnsi="Arial" w:cs="Arial"/>
                <w:b/>
                <w:color w:val="000000"/>
                <w:sz w:val="16"/>
                <w:szCs w:val="16"/>
                <w:lang w:val="en-GB" w:eastAsia="en-GB"/>
              </w:rPr>
            </w:pPr>
            <w:r w:rsidRPr="00DF78A5">
              <w:rPr>
                <w:rFonts w:ascii="Arial" w:eastAsia="Times New Roman" w:hAnsi="Arial" w:cs="Arial"/>
                <w:b/>
                <w:color w:val="000000"/>
                <w:sz w:val="16"/>
                <w:szCs w:val="16"/>
                <w:lang w:val="en-GB" w:eastAsia="en-GB"/>
              </w:rPr>
              <w:t>&lt;0.01</w:t>
            </w:r>
          </w:p>
        </w:tc>
        <w:tc>
          <w:tcPr>
            <w:tcW w:w="1418" w:type="dxa"/>
            <w:tcBorders>
              <w:top w:val="nil"/>
              <w:left w:val="single" w:sz="4" w:space="0" w:color="auto"/>
              <w:bottom w:val="nil"/>
              <w:right w:val="nil"/>
            </w:tcBorders>
            <w:shd w:val="clear" w:color="auto" w:fill="auto"/>
            <w:noWrap/>
            <w:vAlign w:val="center"/>
            <w:hideMark/>
          </w:tcPr>
          <w:p w14:paraId="5463782B" w14:textId="77777777" w:rsidR="00DF78A5" w:rsidRPr="00DF78A5" w:rsidRDefault="00DF78A5" w:rsidP="00DF78A5">
            <w:pPr>
              <w:spacing w:after="0" w:line="240" w:lineRule="auto"/>
              <w:jc w:val="center"/>
              <w:rPr>
                <w:rFonts w:ascii="Arial" w:eastAsia="Times New Roman" w:hAnsi="Arial" w:cs="Arial"/>
                <w:b/>
                <w:color w:val="000000"/>
                <w:sz w:val="16"/>
                <w:szCs w:val="16"/>
                <w:lang w:val="en-GB" w:eastAsia="en-GB"/>
              </w:rPr>
            </w:pPr>
            <w:r w:rsidRPr="00DF78A5">
              <w:rPr>
                <w:rFonts w:ascii="Arial" w:eastAsia="Times New Roman" w:hAnsi="Arial" w:cs="Arial"/>
                <w:b/>
                <w:color w:val="000000"/>
                <w:sz w:val="16"/>
                <w:szCs w:val="16"/>
                <w:lang w:val="en-GB" w:eastAsia="en-GB"/>
              </w:rPr>
              <w:t>1.4 (1.1-1.7)</w:t>
            </w:r>
          </w:p>
        </w:tc>
        <w:tc>
          <w:tcPr>
            <w:tcW w:w="708" w:type="dxa"/>
            <w:tcBorders>
              <w:top w:val="nil"/>
              <w:left w:val="nil"/>
              <w:bottom w:val="nil"/>
              <w:right w:val="single" w:sz="4" w:space="0" w:color="auto"/>
            </w:tcBorders>
            <w:shd w:val="clear" w:color="auto" w:fill="auto"/>
            <w:noWrap/>
            <w:vAlign w:val="center"/>
            <w:hideMark/>
          </w:tcPr>
          <w:p w14:paraId="0705E5B6" w14:textId="77777777" w:rsidR="00DF78A5" w:rsidRPr="00DF78A5" w:rsidRDefault="00DF78A5" w:rsidP="00DF78A5">
            <w:pPr>
              <w:spacing w:after="0" w:line="240" w:lineRule="auto"/>
              <w:jc w:val="center"/>
              <w:rPr>
                <w:rFonts w:ascii="Arial" w:eastAsia="Times New Roman" w:hAnsi="Arial" w:cs="Arial"/>
                <w:b/>
                <w:color w:val="000000"/>
                <w:sz w:val="16"/>
                <w:szCs w:val="16"/>
                <w:lang w:val="en-GB" w:eastAsia="en-GB"/>
              </w:rPr>
            </w:pPr>
            <w:r w:rsidRPr="00DF78A5">
              <w:rPr>
                <w:rFonts w:ascii="Arial" w:eastAsia="Times New Roman" w:hAnsi="Arial" w:cs="Arial"/>
                <w:b/>
                <w:color w:val="000000"/>
                <w:sz w:val="16"/>
                <w:szCs w:val="16"/>
                <w:lang w:val="en-GB" w:eastAsia="en-GB"/>
              </w:rPr>
              <w:t>&lt;0.01</w:t>
            </w:r>
          </w:p>
        </w:tc>
      </w:tr>
      <w:tr w:rsidR="00DF78A5" w:rsidRPr="00DF78A5" w14:paraId="7A0142EC" w14:textId="77777777" w:rsidTr="00307721">
        <w:trPr>
          <w:trHeight w:val="300"/>
        </w:trPr>
        <w:tc>
          <w:tcPr>
            <w:tcW w:w="1418" w:type="dxa"/>
            <w:tcBorders>
              <w:top w:val="nil"/>
              <w:left w:val="nil"/>
              <w:bottom w:val="nil"/>
              <w:right w:val="nil"/>
            </w:tcBorders>
            <w:shd w:val="clear" w:color="auto" w:fill="auto"/>
            <w:noWrap/>
            <w:vAlign w:val="center"/>
            <w:hideMark/>
          </w:tcPr>
          <w:p w14:paraId="21ACAB3F" w14:textId="77777777" w:rsidR="00DF78A5" w:rsidRPr="00DF78A5" w:rsidRDefault="00DF78A5" w:rsidP="00DF78A5">
            <w:pPr>
              <w:spacing w:after="0" w:line="240" w:lineRule="auto"/>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 xml:space="preserve">  PCV13</w:t>
            </w:r>
          </w:p>
        </w:tc>
        <w:tc>
          <w:tcPr>
            <w:tcW w:w="1621" w:type="dxa"/>
            <w:tcBorders>
              <w:top w:val="nil"/>
              <w:left w:val="nil"/>
              <w:bottom w:val="nil"/>
              <w:right w:val="nil"/>
            </w:tcBorders>
            <w:shd w:val="clear" w:color="auto" w:fill="auto"/>
            <w:noWrap/>
            <w:vAlign w:val="center"/>
            <w:hideMark/>
          </w:tcPr>
          <w:p w14:paraId="783242FC" w14:textId="656CEB24" w:rsidR="00DF78A5" w:rsidRPr="00DF78A5" w:rsidRDefault="00900286"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1,338/1,861 (72</w:t>
            </w:r>
            <w:r w:rsidR="00DF78A5" w:rsidRPr="00DF78A5">
              <w:rPr>
                <w:rFonts w:ascii="Arial" w:eastAsia="Times New Roman" w:hAnsi="Arial" w:cs="Arial"/>
                <w:color w:val="000000"/>
                <w:sz w:val="16"/>
                <w:szCs w:val="16"/>
                <w:lang w:val="en-GB" w:eastAsia="en-GB"/>
              </w:rPr>
              <w:t>)</w:t>
            </w:r>
          </w:p>
        </w:tc>
        <w:tc>
          <w:tcPr>
            <w:tcW w:w="1651" w:type="dxa"/>
            <w:tcBorders>
              <w:top w:val="nil"/>
              <w:left w:val="nil"/>
              <w:bottom w:val="nil"/>
              <w:right w:val="single" w:sz="4" w:space="0" w:color="auto"/>
            </w:tcBorders>
            <w:shd w:val="clear" w:color="auto" w:fill="auto"/>
            <w:noWrap/>
            <w:vAlign w:val="center"/>
            <w:hideMark/>
          </w:tcPr>
          <w:p w14:paraId="3B40B91B" w14:textId="12F31D46" w:rsidR="00DF78A5" w:rsidRPr="00DF78A5" w:rsidRDefault="00900286"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3,734/4,862 (77</w:t>
            </w:r>
            <w:r w:rsidR="00DF78A5" w:rsidRPr="00DF78A5">
              <w:rPr>
                <w:rFonts w:ascii="Arial" w:eastAsia="Times New Roman" w:hAnsi="Arial" w:cs="Arial"/>
                <w:color w:val="000000"/>
                <w:sz w:val="16"/>
                <w:szCs w:val="16"/>
                <w:lang w:val="en-GB" w:eastAsia="en-GB"/>
              </w:rPr>
              <w:t>)</w:t>
            </w:r>
          </w:p>
        </w:tc>
        <w:tc>
          <w:tcPr>
            <w:tcW w:w="1547" w:type="dxa"/>
            <w:tcBorders>
              <w:top w:val="nil"/>
              <w:left w:val="single" w:sz="4" w:space="0" w:color="auto"/>
              <w:bottom w:val="nil"/>
              <w:right w:val="nil"/>
            </w:tcBorders>
            <w:shd w:val="clear" w:color="auto" w:fill="auto"/>
            <w:noWrap/>
            <w:vAlign w:val="center"/>
            <w:hideMark/>
          </w:tcPr>
          <w:p w14:paraId="3D0A0884" w14:textId="77777777"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Reference</w:t>
            </w:r>
          </w:p>
        </w:tc>
        <w:tc>
          <w:tcPr>
            <w:tcW w:w="709" w:type="dxa"/>
            <w:tcBorders>
              <w:top w:val="nil"/>
              <w:left w:val="nil"/>
              <w:bottom w:val="nil"/>
              <w:right w:val="single" w:sz="4" w:space="0" w:color="auto"/>
            </w:tcBorders>
            <w:shd w:val="clear" w:color="auto" w:fill="auto"/>
            <w:noWrap/>
            <w:vAlign w:val="center"/>
            <w:hideMark/>
          </w:tcPr>
          <w:p w14:paraId="44F58346" w14:textId="7130AB39"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w:t>
            </w:r>
          </w:p>
        </w:tc>
        <w:tc>
          <w:tcPr>
            <w:tcW w:w="1418" w:type="dxa"/>
            <w:tcBorders>
              <w:top w:val="nil"/>
              <w:left w:val="single" w:sz="4" w:space="0" w:color="auto"/>
              <w:bottom w:val="nil"/>
              <w:right w:val="nil"/>
            </w:tcBorders>
            <w:shd w:val="clear" w:color="auto" w:fill="auto"/>
            <w:noWrap/>
            <w:vAlign w:val="center"/>
            <w:hideMark/>
          </w:tcPr>
          <w:p w14:paraId="19B9EDAC" w14:textId="77777777"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Reference</w:t>
            </w:r>
          </w:p>
        </w:tc>
        <w:tc>
          <w:tcPr>
            <w:tcW w:w="708" w:type="dxa"/>
            <w:tcBorders>
              <w:top w:val="nil"/>
              <w:left w:val="nil"/>
              <w:bottom w:val="nil"/>
              <w:right w:val="single" w:sz="4" w:space="0" w:color="auto"/>
            </w:tcBorders>
            <w:shd w:val="clear" w:color="auto" w:fill="auto"/>
            <w:noWrap/>
            <w:vAlign w:val="center"/>
            <w:hideMark/>
          </w:tcPr>
          <w:p w14:paraId="0CDF9FC7" w14:textId="7516E1D9"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w:t>
            </w:r>
          </w:p>
        </w:tc>
      </w:tr>
      <w:tr w:rsidR="00DF78A5" w:rsidRPr="00DF78A5" w14:paraId="7CBB0C5D" w14:textId="77777777" w:rsidTr="00307721">
        <w:trPr>
          <w:trHeight w:val="300"/>
        </w:trPr>
        <w:tc>
          <w:tcPr>
            <w:tcW w:w="4690" w:type="dxa"/>
            <w:gridSpan w:val="3"/>
            <w:tcBorders>
              <w:top w:val="nil"/>
              <w:left w:val="nil"/>
              <w:bottom w:val="nil"/>
              <w:right w:val="single" w:sz="4" w:space="0" w:color="auto"/>
            </w:tcBorders>
            <w:shd w:val="clear" w:color="auto" w:fill="auto"/>
            <w:noWrap/>
            <w:vAlign w:val="center"/>
            <w:hideMark/>
          </w:tcPr>
          <w:p w14:paraId="6E2C1FA1" w14:textId="49659B58" w:rsidR="00DF78A5" w:rsidRPr="00DF78A5" w:rsidRDefault="00DF78A5" w:rsidP="00DF78A5">
            <w:pPr>
              <w:spacing w:after="0" w:line="240" w:lineRule="auto"/>
              <w:rPr>
                <w:rFonts w:ascii="Arial" w:eastAsia="Times New Roman" w:hAnsi="Arial" w:cs="Arial"/>
                <w:color w:val="000000"/>
                <w:sz w:val="16"/>
                <w:szCs w:val="16"/>
                <w:lang w:val="en-GB" w:eastAsia="en-GB"/>
              </w:rPr>
            </w:pPr>
            <w:r w:rsidRPr="00DF78A5">
              <w:rPr>
                <w:rFonts w:ascii="Arial" w:eastAsia="Times New Roman" w:hAnsi="Arial" w:cs="Arial"/>
                <w:b/>
                <w:bCs/>
                <w:color w:val="000000"/>
                <w:sz w:val="16"/>
                <w:szCs w:val="16"/>
                <w:lang w:val="en-GB" w:eastAsia="en-GB"/>
              </w:rPr>
              <w:t>Duration of hospital stay (N=7,354)</w:t>
            </w:r>
          </w:p>
        </w:tc>
        <w:tc>
          <w:tcPr>
            <w:tcW w:w="1547" w:type="dxa"/>
            <w:tcBorders>
              <w:top w:val="nil"/>
              <w:left w:val="single" w:sz="4" w:space="0" w:color="auto"/>
              <w:bottom w:val="nil"/>
              <w:right w:val="nil"/>
            </w:tcBorders>
            <w:shd w:val="clear" w:color="auto" w:fill="auto"/>
            <w:noWrap/>
            <w:vAlign w:val="center"/>
            <w:hideMark/>
          </w:tcPr>
          <w:p w14:paraId="2DC65BC0" w14:textId="265B8227"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p>
        </w:tc>
        <w:tc>
          <w:tcPr>
            <w:tcW w:w="709" w:type="dxa"/>
            <w:tcBorders>
              <w:top w:val="nil"/>
              <w:left w:val="nil"/>
              <w:bottom w:val="nil"/>
              <w:right w:val="single" w:sz="4" w:space="0" w:color="auto"/>
            </w:tcBorders>
            <w:shd w:val="clear" w:color="auto" w:fill="auto"/>
            <w:noWrap/>
            <w:vAlign w:val="center"/>
            <w:hideMark/>
          </w:tcPr>
          <w:p w14:paraId="2DBA9CC2" w14:textId="1F9CDE73"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p>
        </w:tc>
        <w:tc>
          <w:tcPr>
            <w:tcW w:w="1418" w:type="dxa"/>
            <w:tcBorders>
              <w:top w:val="nil"/>
              <w:left w:val="single" w:sz="4" w:space="0" w:color="auto"/>
              <w:bottom w:val="nil"/>
              <w:right w:val="nil"/>
            </w:tcBorders>
            <w:shd w:val="clear" w:color="auto" w:fill="auto"/>
            <w:noWrap/>
            <w:vAlign w:val="center"/>
            <w:hideMark/>
          </w:tcPr>
          <w:p w14:paraId="6B1C874E" w14:textId="600E91CE"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p>
        </w:tc>
        <w:tc>
          <w:tcPr>
            <w:tcW w:w="708" w:type="dxa"/>
            <w:tcBorders>
              <w:top w:val="nil"/>
              <w:left w:val="nil"/>
              <w:bottom w:val="nil"/>
              <w:right w:val="single" w:sz="4" w:space="0" w:color="auto"/>
            </w:tcBorders>
            <w:shd w:val="clear" w:color="auto" w:fill="auto"/>
            <w:noWrap/>
            <w:vAlign w:val="center"/>
            <w:hideMark/>
          </w:tcPr>
          <w:p w14:paraId="407FAA74" w14:textId="29FC763C"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p>
        </w:tc>
      </w:tr>
      <w:tr w:rsidR="00DF78A5" w:rsidRPr="00DF78A5" w14:paraId="23971FCA" w14:textId="77777777" w:rsidTr="00307721">
        <w:trPr>
          <w:trHeight w:val="300"/>
        </w:trPr>
        <w:tc>
          <w:tcPr>
            <w:tcW w:w="1418" w:type="dxa"/>
            <w:tcBorders>
              <w:top w:val="nil"/>
              <w:left w:val="nil"/>
              <w:bottom w:val="nil"/>
              <w:right w:val="nil"/>
            </w:tcBorders>
            <w:shd w:val="clear" w:color="auto" w:fill="auto"/>
            <w:noWrap/>
            <w:vAlign w:val="center"/>
            <w:hideMark/>
          </w:tcPr>
          <w:p w14:paraId="2ED63F07" w14:textId="77777777" w:rsidR="00DF78A5" w:rsidRPr="00DF78A5" w:rsidRDefault="00DF78A5" w:rsidP="00DF78A5">
            <w:pPr>
              <w:spacing w:after="0" w:line="240" w:lineRule="auto"/>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 xml:space="preserve">  0 – 5 days</w:t>
            </w:r>
          </w:p>
        </w:tc>
        <w:tc>
          <w:tcPr>
            <w:tcW w:w="1621" w:type="dxa"/>
            <w:tcBorders>
              <w:top w:val="nil"/>
              <w:left w:val="nil"/>
              <w:bottom w:val="nil"/>
              <w:right w:val="nil"/>
            </w:tcBorders>
            <w:shd w:val="clear" w:color="auto" w:fill="auto"/>
            <w:noWrap/>
            <w:vAlign w:val="center"/>
            <w:hideMark/>
          </w:tcPr>
          <w:p w14:paraId="6C3CB11A" w14:textId="53A3177E" w:rsidR="00DF78A5" w:rsidRPr="00DF78A5" w:rsidRDefault="00900286"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676/1,767 (38</w:t>
            </w:r>
            <w:r w:rsidR="00DF78A5" w:rsidRPr="00DF78A5">
              <w:rPr>
                <w:rFonts w:ascii="Arial" w:eastAsia="Times New Roman" w:hAnsi="Arial" w:cs="Arial"/>
                <w:color w:val="000000"/>
                <w:sz w:val="16"/>
                <w:szCs w:val="16"/>
                <w:lang w:val="en-GB" w:eastAsia="en-GB"/>
              </w:rPr>
              <w:t>)</w:t>
            </w:r>
          </w:p>
        </w:tc>
        <w:tc>
          <w:tcPr>
            <w:tcW w:w="1651" w:type="dxa"/>
            <w:tcBorders>
              <w:top w:val="nil"/>
              <w:left w:val="nil"/>
              <w:bottom w:val="nil"/>
              <w:right w:val="single" w:sz="4" w:space="0" w:color="auto"/>
            </w:tcBorders>
            <w:shd w:val="clear" w:color="auto" w:fill="auto"/>
            <w:noWrap/>
            <w:vAlign w:val="center"/>
            <w:hideMark/>
          </w:tcPr>
          <w:p w14:paraId="6F63302C" w14:textId="04EE1D31" w:rsidR="00DF78A5" w:rsidRPr="00DF78A5" w:rsidRDefault="00900286"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2,422/5,587 (43</w:t>
            </w:r>
            <w:r w:rsidR="00DF78A5" w:rsidRPr="00DF78A5">
              <w:rPr>
                <w:rFonts w:ascii="Arial" w:eastAsia="Times New Roman" w:hAnsi="Arial" w:cs="Arial"/>
                <w:color w:val="000000"/>
                <w:sz w:val="16"/>
                <w:szCs w:val="16"/>
                <w:lang w:val="en-GB" w:eastAsia="en-GB"/>
              </w:rPr>
              <w:t>)</w:t>
            </w:r>
          </w:p>
        </w:tc>
        <w:tc>
          <w:tcPr>
            <w:tcW w:w="1547" w:type="dxa"/>
            <w:tcBorders>
              <w:top w:val="nil"/>
              <w:left w:val="single" w:sz="4" w:space="0" w:color="auto"/>
              <w:bottom w:val="nil"/>
              <w:right w:val="nil"/>
            </w:tcBorders>
            <w:shd w:val="clear" w:color="auto" w:fill="auto"/>
            <w:noWrap/>
            <w:vAlign w:val="center"/>
            <w:hideMark/>
          </w:tcPr>
          <w:p w14:paraId="4B3C0065" w14:textId="77777777"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Reference</w:t>
            </w:r>
          </w:p>
        </w:tc>
        <w:tc>
          <w:tcPr>
            <w:tcW w:w="709" w:type="dxa"/>
            <w:tcBorders>
              <w:top w:val="nil"/>
              <w:left w:val="nil"/>
              <w:bottom w:val="nil"/>
              <w:right w:val="single" w:sz="4" w:space="0" w:color="auto"/>
            </w:tcBorders>
            <w:shd w:val="clear" w:color="auto" w:fill="auto"/>
            <w:noWrap/>
            <w:vAlign w:val="center"/>
            <w:hideMark/>
          </w:tcPr>
          <w:p w14:paraId="57E7F8A2" w14:textId="06A2E386"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w:t>
            </w:r>
          </w:p>
        </w:tc>
        <w:tc>
          <w:tcPr>
            <w:tcW w:w="1418" w:type="dxa"/>
            <w:tcBorders>
              <w:top w:val="nil"/>
              <w:left w:val="single" w:sz="4" w:space="0" w:color="auto"/>
              <w:bottom w:val="nil"/>
              <w:right w:val="nil"/>
            </w:tcBorders>
            <w:shd w:val="clear" w:color="auto" w:fill="auto"/>
            <w:noWrap/>
            <w:vAlign w:val="center"/>
            <w:hideMark/>
          </w:tcPr>
          <w:p w14:paraId="793A45CD" w14:textId="77777777"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Reference</w:t>
            </w:r>
          </w:p>
        </w:tc>
        <w:tc>
          <w:tcPr>
            <w:tcW w:w="708" w:type="dxa"/>
            <w:tcBorders>
              <w:top w:val="nil"/>
              <w:left w:val="nil"/>
              <w:bottom w:val="nil"/>
              <w:right w:val="single" w:sz="4" w:space="0" w:color="auto"/>
            </w:tcBorders>
            <w:shd w:val="clear" w:color="auto" w:fill="auto"/>
            <w:noWrap/>
            <w:vAlign w:val="center"/>
            <w:hideMark/>
          </w:tcPr>
          <w:p w14:paraId="4B94B957" w14:textId="19D19C40"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w:t>
            </w:r>
          </w:p>
        </w:tc>
      </w:tr>
      <w:tr w:rsidR="00DF78A5" w:rsidRPr="00DF78A5" w14:paraId="2AD09D56" w14:textId="77777777" w:rsidTr="00307721">
        <w:trPr>
          <w:trHeight w:val="300"/>
        </w:trPr>
        <w:tc>
          <w:tcPr>
            <w:tcW w:w="1418" w:type="dxa"/>
            <w:tcBorders>
              <w:top w:val="nil"/>
              <w:left w:val="nil"/>
              <w:bottom w:val="nil"/>
              <w:right w:val="nil"/>
            </w:tcBorders>
            <w:shd w:val="clear" w:color="auto" w:fill="auto"/>
            <w:noWrap/>
            <w:vAlign w:val="center"/>
            <w:hideMark/>
          </w:tcPr>
          <w:p w14:paraId="77AB5269" w14:textId="77777777" w:rsidR="00DF78A5" w:rsidRPr="00DF78A5" w:rsidRDefault="00DF78A5" w:rsidP="00DF78A5">
            <w:pPr>
              <w:spacing w:after="0" w:line="240" w:lineRule="auto"/>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 xml:space="preserve">  ≥6  days</w:t>
            </w:r>
          </w:p>
        </w:tc>
        <w:tc>
          <w:tcPr>
            <w:tcW w:w="1621" w:type="dxa"/>
            <w:tcBorders>
              <w:top w:val="nil"/>
              <w:left w:val="nil"/>
              <w:bottom w:val="nil"/>
              <w:right w:val="nil"/>
            </w:tcBorders>
            <w:shd w:val="clear" w:color="auto" w:fill="auto"/>
            <w:noWrap/>
            <w:vAlign w:val="center"/>
            <w:hideMark/>
          </w:tcPr>
          <w:p w14:paraId="028571AC" w14:textId="4EDE47C4" w:rsidR="00DF78A5" w:rsidRPr="00DF78A5" w:rsidRDefault="00900286"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1,091/1,767 (62</w:t>
            </w:r>
            <w:r w:rsidR="00DF78A5" w:rsidRPr="00DF78A5">
              <w:rPr>
                <w:rFonts w:ascii="Arial" w:eastAsia="Times New Roman" w:hAnsi="Arial" w:cs="Arial"/>
                <w:color w:val="000000"/>
                <w:sz w:val="16"/>
                <w:szCs w:val="16"/>
                <w:lang w:val="en-GB" w:eastAsia="en-GB"/>
              </w:rPr>
              <w:t>)</w:t>
            </w:r>
          </w:p>
        </w:tc>
        <w:tc>
          <w:tcPr>
            <w:tcW w:w="1651" w:type="dxa"/>
            <w:tcBorders>
              <w:top w:val="nil"/>
              <w:left w:val="nil"/>
              <w:bottom w:val="nil"/>
              <w:right w:val="single" w:sz="4" w:space="0" w:color="auto"/>
            </w:tcBorders>
            <w:shd w:val="clear" w:color="auto" w:fill="auto"/>
            <w:noWrap/>
            <w:vAlign w:val="center"/>
            <w:hideMark/>
          </w:tcPr>
          <w:p w14:paraId="546679C6" w14:textId="72DFF57C" w:rsidR="00DF78A5" w:rsidRPr="00DF78A5" w:rsidRDefault="00900286"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3,165/5,587 (57</w:t>
            </w:r>
            <w:r w:rsidR="00DF78A5" w:rsidRPr="00DF78A5">
              <w:rPr>
                <w:rFonts w:ascii="Arial" w:eastAsia="Times New Roman" w:hAnsi="Arial" w:cs="Arial"/>
                <w:color w:val="000000"/>
                <w:sz w:val="16"/>
                <w:szCs w:val="16"/>
                <w:lang w:val="en-GB" w:eastAsia="en-GB"/>
              </w:rPr>
              <w:t>)</w:t>
            </w:r>
          </w:p>
        </w:tc>
        <w:tc>
          <w:tcPr>
            <w:tcW w:w="1547" w:type="dxa"/>
            <w:tcBorders>
              <w:top w:val="nil"/>
              <w:left w:val="single" w:sz="4" w:space="0" w:color="auto"/>
              <w:bottom w:val="nil"/>
              <w:right w:val="nil"/>
            </w:tcBorders>
            <w:shd w:val="clear" w:color="auto" w:fill="auto"/>
            <w:noWrap/>
            <w:vAlign w:val="center"/>
            <w:hideMark/>
          </w:tcPr>
          <w:p w14:paraId="7A5A73CD" w14:textId="77777777" w:rsidR="00DF78A5" w:rsidRPr="00DF78A5" w:rsidRDefault="00DF78A5" w:rsidP="00DF78A5">
            <w:pPr>
              <w:spacing w:after="0" w:line="240" w:lineRule="auto"/>
              <w:jc w:val="center"/>
              <w:rPr>
                <w:rFonts w:ascii="Arial" w:eastAsia="Times New Roman" w:hAnsi="Arial" w:cs="Arial"/>
                <w:b/>
                <w:color w:val="000000"/>
                <w:sz w:val="16"/>
                <w:szCs w:val="16"/>
                <w:lang w:val="en-GB" w:eastAsia="en-GB"/>
              </w:rPr>
            </w:pPr>
            <w:r w:rsidRPr="00DF78A5">
              <w:rPr>
                <w:rFonts w:ascii="Arial" w:eastAsia="Times New Roman" w:hAnsi="Arial" w:cs="Arial"/>
                <w:b/>
                <w:color w:val="000000"/>
                <w:sz w:val="16"/>
                <w:szCs w:val="16"/>
                <w:lang w:val="en-GB" w:eastAsia="en-GB"/>
              </w:rPr>
              <w:t>1.2 (1.1-1.4)</w:t>
            </w:r>
          </w:p>
        </w:tc>
        <w:tc>
          <w:tcPr>
            <w:tcW w:w="709" w:type="dxa"/>
            <w:tcBorders>
              <w:top w:val="nil"/>
              <w:left w:val="nil"/>
              <w:bottom w:val="nil"/>
              <w:right w:val="single" w:sz="4" w:space="0" w:color="auto"/>
            </w:tcBorders>
            <w:shd w:val="clear" w:color="auto" w:fill="auto"/>
            <w:noWrap/>
            <w:vAlign w:val="center"/>
            <w:hideMark/>
          </w:tcPr>
          <w:p w14:paraId="7B196C44" w14:textId="77777777" w:rsidR="00DF78A5" w:rsidRPr="00DF78A5" w:rsidRDefault="00DF78A5" w:rsidP="00DF78A5">
            <w:pPr>
              <w:spacing w:after="0" w:line="240" w:lineRule="auto"/>
              <w:jc w:val="center"/>
              <w:rPr>
                <w:rFonts w:ascii="Arial" w:eastAsia="Times New Roman" w:hAnsi="Arial" w:cs="Arial"/>
                <w:b/>
                <w:color w:val="000000"/>
                <w:sz w:val="16"/>
                <w:szCs w:val="16"/>
                <w:lang w:val="en-GB" w:eastAsia="en-GB"/>
              </w:rPr>
            </w:pPr>
            <w:r w:rsidRPr="00DF78A5">
              <w:rPr>
                <w:rFonts w:ascii="Arial" w:eastAsia="Times New Roman" w:hAnsi="Arial" w:cs="Arial"/>
                <w:b/>
                <w:color w:val="000000"/>
                <w:sz w:val="16"/>
                <w:szCs w:val="16"/>
                <w:lang w:val="en-GB" w:eastAsia="en-GB"/>
              </w:rPr>
              <w:t>&lt;0.01</w:t>
            </w:r>
          </w:p>
        </w:tc>
        <w:tc>
          <w:tcPr>
            <w:tcW w:w="1418" w:type="dxa"/>
            <w:tcBorders>
              <w:top w:val="nil"/>
              <w:left w:val="single" w:sz="4" w:space="0" w:color="auto"/>
              <w:bottom w:val="nil"/>
              <w:right w:val="nil"/>
            </w:tcBorders>
            <w:shd w:val="clear" w:color="auto" w:fill="auto"/>
            <w:noWrap/>
            <w:vAlign w:val="center"/>
            <w:hideMark/>
          </w:tcPr>
          <w:p w14:paraId="195B6305" w14:textId="77777777" w:rsidR="00DF78A5" w:rsidRPr="00DF78A5" w:rsidRDefault="00DF78A5" w:rsidP="00DF78A5">
            <w:pPr>
              <w:spacing w:after="0" w:line="240" w:lineRule="auto"/>
              <w:jc w:val="center"/>
              <w:rPr>
                <w:rFonts w:ascii="Arial" w:eastAsia="Times New Roman" w:hAnsi="Arial" w:cs="Arial"/>
                <w:b/>
                <w:color w:val="000000"/>
                <w:sz w:val="16"/>
                <w:szCs w:val="16"/>
                <w:lang w:val="en-GB" w:eastAsia="en-GB"/>
              </w:rPr>
            </w:pPr>
            <w:r w:rsidRPr="00DF78A5">
              <w:rPr>
                <w:rFonts w:ascii="Arial" w:eastAsia="Times New Roman" w:hAnsi="Arial" w:cs="Arial"/>
                <w:b/>
                <w:color w:val="000000"/>
                <w:sz w:val="16"/>
                <w:szCs w:val="16"/>
                <w:lang w:val="en-GB" w:eastAsia="en-GB"/>
              </w:rPr>
              <w:t>2.4 (1.9-3.0)</w:t>
            </w:r>
          </w:p>
        </w:tc>
        <w:tc>
          <w:tcPr>
            <w:tcW w:w="708" w:type="dxa"/>
            <w:tcBorders>
              <w:top w:val="nil"/>
              <w:left w:val="nil"/>
              <w:bottom w:val="nil"/>
              <w:right w:val="single" w:sz="4" w:space="0" w:color="auto"/>
            </w:tcBorders>
            <w:shd w:val="clear" w:color="auto" w:fill="auto"/>
            <w:noWrap/>
            <w:vAlign w:val="center"/>
            <w:hideMark/>
          </w:tcPr>
          <w:p w14:paraId="61F26319" w14:textId="77777777" w:rsidR="00DF78A5" w:rsidRPr="00DF78A5" w:rsidRDefault="00DF78A5" w:rsidP="00DF78A5">
            <w:pPr>
              <w:spacing w:after="0" w:line="240" w:lineRule="auto"/>
              <w:jc w:val="center"/>
              <w:rPr>
                <w:rFonts w:ascii="Arial" w:eastAsia="Times New Roman" w:hAnsi="Arial" w:cs="Arial"/>
                <w:b/>
                <w:color w:val="000000"/>
                <w:sz w:val="16"/>
                <w:szCs w:val="16"/>
                <w:lang w:val="en-GB" w:eastAsia="en-GB"/>
              </w:rPr>
            </w:pPr>
            <w:r w:rsidRPr="00DF78A5">
              <w:rPr>
                <w:rFonts w:ascii="Arial" w:eastAsia="Times New Roman" w:hAnsi="Arial" w:cs="Arial"/>
                <w:b/>
                <w:color w:val="000000"/>
                <w:sz w:val="16"/>
                <w:szCs w:val="16"/>
                <w:lang w:val="en-GB" w:eastAsia="en-GB"/>
              </w:rPr>
              <w:t>&lt;0.01</w:t>
            </w:r>
          </w:p>
        </w:tc>
      </w:tr>
      <w:tr w:rsidR="00DF78A5" w:rsidRPr="00DF78A5" w14:paraId="7AA515A7" w14:textId="77777777" w:rsidTr="00307721">
        <w:trPr>
          <w:trHeight w:val="300"/>
        </w:trPr>
        <w:tc>
          <w:tcPr>
            <w:tcW w:w="4690" w:type="dxa"/>
            <w:gridSpan w:val="3"/>
            <w:tcBorders>
              <w:top w:val="nil"/>
              <w:left w:val="nil"/>
              <w:bottom w:val="nil"/>
              <w:right w:val="single" w:sz="4" w:space="0" w:color="auto"/>
            </w:tcBorders>
            <w:shd w:val="clear" w:color="auto" w:fill="auto"/>
            <w:noWrap/>
            <w:vAlign w:val="center"/>
            <w:hideMark/>
          </w:tcPr>
          <w:p w14:paraId="1A907F82" w14:textId="266916F6" w:rsidR="00DF78A5" w:rsidRPr="00DF78A5" w:rsidRDefault="00DF78A5" w:rsidP="00CF32A2">
            <w:pPr>
              <w:spacing w:after="0" w:line="240" w:lineRule="auto"/>
              <w:rPr>
                <w:rFonts w:ascii="Arial" w:eastAsia="Times New Roman" w:hAnsi="Arial" w:cs="Arial"/>
                <w:color w:val="000000"/>
                <w:sz w:val="16"/>
                <w:szCs w:val="16"/>
                <w:lang w:val="en-GB" w:eastAsia="en-GB"/>
              </w:rPr>
            </w:pPr>
            <w:r w:rsidRPr="00DF78A5">
              <w:rPr>
                <w:rFonts w:ascii="Arial" w:eastAsia="Times New Roman" w:hAnsi="Arial" w:cs="Arial"/>
                <w:b/>
                <w:bCs/>
                <w:color w:val="000000"/>
                <w:sz w:val="16"/>
                <w:szCs w:val="16"/>
                <w:lang w:val="en-GB" w:eastAsia="en-GB"/>
              </w:rPr>
              <w:t>Pre-disposing conditions</w:t>
            </w:r>
            <w:r w:rsidR="006F2AA8" w:rsidRPr="006F2AA8">
              <w:rPr>
                <w:rFonts w:ascii="Arial" w:eastAsia="Times New Roman" w:hAnsi="Arial" w:cs="Arial"/>
                <w:b/>
                <w:bCs/>
                <w:color w:val="000000"/>
                <w:sz w:val="16"/>
                <w:szCs w:val="16"/>
                <w:vertAlign w:val="superscript"/>
                <w:lang w:val="en-GB" w:eastAsia="en-GB"/>
              </w:rPr>
              <w:t>b</w:t>
            </w:r>
            <w:r w:rsidRPr="00DF78A5">
              <w:rPr>
                <w:rFonts w:ascii="Arial" w:eastAsia="Times New Roman" w:hAnsi="Arial" w:cs="Arial"/>
                <w:b/>
                <w:bCs/>
                <w:color w:val="000000"/>
                <w:sz w:val="16"/>
                <w:szCs w:val="16"/>
                <w:lang w:val="en-GB" w:eastAsia="en-GB"/>
              </w:rPr>
              <w:t xml:space="preserve"> (N=7,384)</w:t>
            </w:r>
          </w:p>
        </w:tc>
        <w:tc>
          <w:tcPr>
            <w:tcW w:w="1547" w:type="dxa"/>
            <w:tcBorders>
              <w:top w:val="nil"/>
              <w:left w:val="single" w:sz="4" w:space="0" w:color="auto"/>
              <w:bottom w:val="nil"/>
              <w:right w:val="nil"/>
            </w:tcBorders>
            <w:shd w:val="clear" w:color="auto" w:fill="auto"/>
            <w:noWrap/>
            <w:vAlign w:val="center"/>
            <w:hideMark/>
          </w:tcPr>
          <w:p w14:paraId="3478596C" w14:textId="1F8EE47E"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p>
        </w:tc>
        <w:tc>
          <w:tcPr>
            <w:tcW w:w="709" w:type="dxa"/>
            <w:tcBorders>
              <w:top w:val="nil"/>
              <w:left w:val="nil"/>
              <w:bottom w:val="nil"/>
              <w:right w:val="single" w:sz="4" w:space="0" w:color="auto"/>
            </w:tcBorders>
            <w:shd w:val="clear" w:color="auto" w:fill="auto"/>
            <w:noWrap/>
            <w:vAlign w:val="center"/>
            <w:hideMark/>
          </w:tcPr>
          <w:p w14:paraId="080B4ABF" w14:textId="47E0685A"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p>
        </w:tc>
        <w:tc>
          <w:tcPr>
            <w:tcW w:w="1418" w:type="dxa"/>
            <w:tcBorders>
              <w:top w:val="nil"/>
              <w:left w:val="single" w:sz="4" w:space="0" w:color="auto"/>
              <w:bottom w:val="nil"/>
              <w:right w:val="nil"/>
            </w:tcBorders>
            <w:shd w:val="clear" w:color="auto" w:fill="auto"/>
            <w:noWrap/>
            <w:vAlign w:val="center"/>
            <w:hideMark/>
          </w:tcPr>
          <w:p w14:paraId="343F31F1" w14:textId="07100F7A"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p>
        </w:tc>
        <w:tc>
          <w:tcPr>
            <w:tcW w:w="708" w:type="dxa"/>
            <w:tcBorders>
              <w:top w:val="nil"/>
              <w:left w:val="nil"/>
              <w:bottom w:val="nil"/>
              <w:right w:val="single" w:sz="4" w:space="0" w:color="auto"/>
            </w:tcBorders>
            <w:shd w:val="clear" w:color="auto" w:fill="auto"/>
            <w:noWrap/>
            <w:vAlign w:val="center"/>
            <w:hideMark/>
          </w:tcPr>
          <w:p w14:paraId="776BB8FF" w14:textId="0E2E7970"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p>
        </w:tc>
      </w:tr>
      <w:tr w:rsidR="00DF78A5" w:rsidRPr="00DF78A5" w14:paraId="4D98F9FB" w14:textId="77777777" w:rsidTr="00307721">
        <w:trPr>
          <w:trHeight w:val="300"/>
        </w:trPr>
        <w:tc>
          <w:tcPr>
            <w:tcW w:w="1418" w:type="dxa"/>
            <w:tcBorders>
              <w:top w:val="nil"/>
              <w:left w:val="nil"/>
              <w:bottom w:val="nil"/>
              <w:right w:val="nil"/>
            </w:tcBorders>
            <w:shd w:val="clear" w:color="auto" w:fill="auto"/>
            <w:noWrap/>
            <w:vAlign w:val="center"/>
            <w:hideMark/>
          </w:tcPr>
          <w:p w14:paraId="2A3CB429" w14:textId="77777777" w:rsidR="00DF78A5" w:rsidRPr="00DF78A5" w:rsidRDefault="00DF78A5" w:rsidP="00DF78A5">
            <w:pPr>
              <w:spacing w:after="0" w:line="240" w:lineRule="auto"/>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 xml:space="preserve">  Absent</w:t>
            </w:r>
          </w:p>
        </w:tc>
        <w:tc>
          <w:tcPr>
            <w:tcW w:w="1621" w:type="dxa"/>
            <w:tcBorders>
              <w:top w:val="nil"/>
              <w:left w:val="nil"/>
              <w:bottom w:val="nil"/>
              <w:right w:val="nil"/>
            </w:tcBorders>
            <w:shd w:val="clear" w:color="auto" w:fill="auto"/>
            <w:noWrap/>
            <w:vAlign w:val="center"/>
            <w:hideMark/>
          </w:tcPr>
          <w:p w14:paraId="75D8528C" w14:textId="0DF8F362" w:rsidR="00DF78A5" w:rsidRPr="00DF78A5" w:rsidRDefault="00900286"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1,581/1,771 (89</w:t>
            </w:r>
            <w:r w:rsidR="00DF78A5" w:rsidRPr="00DF78A5">
              <w:rPr>
                <w:rFonts w:ascii="Arial" w:eastAsia="Times New Roman" w:hAnsi="Arial" w:cs="Arial"/>
                <w:color w:val="000000"/>
                <w:sz w:val="16"/>
                <w:szCs w:val="16"/>
                <w:lang w:val="en-GB" w:eastAsia="en-GB"/>
              </w:rPr>
              <w:t>)</w:t>
            </w:r>
          </w:p>
        </w:tc>
        <w:tc>
          <w:tcPr>
            <w:tcW w:w="1651" w:type="dxa"/>
            <w:tcBorders>
              <w:top w:val="nil"/>
              <w:left w:val="nil"/>
              <w:bottom w:val="nil"/>
              <w:right w:val="single" w:sz="4" w:space="0" w:color="auto"/>
            </w:tcBorders>
            <w:shd w:val="clear" w:color="auto" w:fill="auto"/>
            <w:noWrap/>
            <w:vAlign w:val="center"/>
            <w:hideMark/>
          </w:tcPr>
          <w:p w14:paraId="06E3B3E8" w14:textId="3E9A79A2" w:rsidR="00DF78A5" w:rsidRPr="00DF78A5" w:rsidRDefault="00900286"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4,530/5,613 (81</w:t>
            </w:r>
            <w:r w:rsidR="00DF78A5" w:rsidRPr="00DF78A5">
              <w:rPr>
                <w:rFonts w:ascii="Arial" w:eastAsia="Times New Roman" w:hAnsi="Arial" w:cs="Arial"/>
                <w:color w:val="000000"/>
                <w:sz w:val="16"/>
                <w:szCs w:val="16"/>
                <w:lang w:val="en-GB" w:eastAsia="en-GB"/>
              </w:rPr>
              <w:t>)</w:t>
            </w:r>
          </w:p>
        </w:tc>
        <w:tc>
          <w:tcPr>
            <w:tcW w:w="1547" w:type="dxa"/>
            <w:tcBorders>
              <w:top w:val="nil"/>
              <w:left w:val="single" w:sz="4" w:space="0" w:color="auto"/>
              <w:bottom w:val="nil"/>
              <w:right w:val="nil"/>
            </w:tcBorders>
            <w:shd w:val="clear" w:color="auto" w:fill="auto"/>
            <w:noWrap/>
            <w:vAlign w:val="center"/>
            <w:hideMark/>
          </w:tcPr>
          <w:p w14:paraId="6879863F" w14:textId="77777777"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Reference</w:t>
            </w:r>
          </w:p>
        </w:tc>
        <w:tc>
          <w:tcPr>
            <w:tcW w:w="709" w:type="dxa"/>
            <w:tcBorders>
              <w:top w:val="nil"/>
              <w:left w:val="nil"/>
              <w:bottom w:val="nil"/>
              <w:right w:val="single" w:sz="4" w:space="0" w:color="auto"/>
            </w:tcBorders>
            <w:shd w:val="clear" w:color="auto" w:fill="auto"/>
            <w:noWrap/>
            <w:vAlign w:val="center"/>
            <w:hideMark/>
          </w:tcPr>
          <w:p w14:paraId="19201D38" w14:textId="3FACD115"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w:t>
            </w:r>
          </w:p>
        </w:tc>
        <w:tc>
          <w:tcPr>
            <w:tcW w:w="1418" w:type="dxa"/>
            <w:tcBorders>
              <w:top w:val="nil"/>
              <w:left w:val="single" w:sz="4" w:space="0" w:color="auto"/>
              <w:bottom w:val="nil"/>
              <w:right w:val="nil"/>
            </w:tcBorders>
            <w:shd w:val="clear" w:color="auto" w:fill="auto"/>
            <w:noWrap/>
            <w:vAlign w:val="center"/>
            <w:hideMark/>
          </w:tcPr>
          <w:p w14:paraId="000DAA44" w14:textId="77777777"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Reference</w:t>
            </w:r>
          </w:p>
        </w:tc>
        <w:tc>
          <w:tcPr>
            <w:tcW w:w="708" w:type="dxa"/>
            <w:tcBorders>
              <w:top w:val="nil"/>
              <w:left w:val="nil"/>
              <w:bottom w:val="nil"/>
              <w:right w:val="single" w:sz="4" w:space="0" w:color="auto"/>
            </w:tcBorders>
            <w:shd w:val="clear" w:color="auto" w:fill="auto"/>
            <w:noWrap/>
            <w:vAlign w:val="center"/>
            <w:hideMark/>
          </w:tcPr>
          <w:p w14:paraId="274999AB" w14:textId="2C98D27B"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w:t>
            </w:r>
          </w:p>
        </w:tc>
      </w:tr>
      <w:tr w:rsidR="00DF78A5" w:rsidRPr="00DF78A5" w14:paraId="0E6EE8D4" w14:textId="77777777" w:rsidTr="00307721">
        <w:trPr>
          <w:trHeight w:val="300"/>
        </w:trPr>
        <w:tc>
          <w:tcPr>
            <w:tcW w:w="1418" w:type="dxa"/>
            <w:tcBorders>
              <w:top w:val="nil"/>
              <w:left w:val="nil"/>
              <w:bottom w:val="nil"/>
              <w:right w:val="nil"/>
            </w:tcBorders>
            <w:shd w:val="clear" w:color="auto" w:fill="auto"/>
            <w:noWrap/>
            <w:vAlign w:val="center"/>
            <w:hideMark/>
          </w:tcPr>
          <w:p w14:paraId="00BAF6E4" w14:textId="77777777" w:rsidR="00DF78A5" w:rsidRPr="00DF78A5" w:rsidRDefault="00DF78A5" w:rsidP="00DF78A5">
            <w:pPr>
              <w:spacing w:after="0" w:line="240" w:lineRule="auto"/>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 xml:space="preserve">  Present</w:t>
            </w:r>
          </w:p>
        </w:tc>
        <w:tc>
          <w:tcPr>
            <w:tcW w:w="1621" w:type="dxa"/>
            <w:tcBorders>
              <w:top w:val="nil"/>
              <w:left w:val="nil"/>
              <w:bottom w:val="nil"/>
              <w:right w:val="nil"/>
            </w:tcBorders>
            <w:shd w:val="clear" w:color="auto" w:fill="auto"/>
            <w:noWrap/>
            <w:vAlign w:val="center"/>
            <w:hideMark/>
          </w:tcPr>
          <w:p w14:paraId="1F9E411A" w14:textId="464EF7B8" w:rsidR="00DF78A5" w:rsidRPr="00DF78A5" w:rsidRDefault="00900286"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190/1,771 (11</w:t>
            </w:r>
            <w:r w:rsidR="00DF78A5" w:rsidRPr="00DF78A5">
              <w:rPr>
                <w:rFonts w:ascii="Arial" w:eastAsia="Times New Roman" w:hAnsi="Arial" w:cs="Arial"/>
                <w:color w:val="000000"/>
                <w:sz w:val="16"/>
                <w:szCs w:val="16"/>
                <w:lang w:val="en-GB" w:eastAsia="en-GB"/>
              </w:rPr>
              <w:t>)</w:t>
            </w:r>
          </w:p>
        </w:tc>
        <w:tc>
          <w:tcPr>
            <w:tcW w:w="1651" w:type="dxa"/>
            <w:tcBorders>
              <w:top w:val="nil"/>
              <w:left w:val="nil"/>
              <w:bottom w:val="nil"/>
              <w:right w:val="single" w:sz="4" w:space="0" w:color="auto"/>
            </w:tcBorders>
            <w:shd w:val="clear" w:color="auto" w:fill="auto"/>
            <w:noWrap/>
            <w:vAlign w:val="center"/>
            <w:hideMark/>
          </w:tcPr>
          <w:p w14:paraId="153445BC" w14:textId="52A441E8" w:rsidR="00DF78A5" w:rsidRPr="00DF78A5" w:rsidRDefault="00900286"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1,083/5,613 (19</w:t>
            </w:r>
            <w:r w:rsidR="00DF78A5" w:rsidRPr="00DF78A5">
              <w:rPr>
                <w:rFonts w:ascii="Arial" w:eastAsia="Times New Roman" w:hAnsi="Arial" w:cs="Arial"/>
                <w:color w:val="000000"/>
                <w:sz w:val="16"/>
                <w:szCs w:val="16"/>
                <w:lang w:val="en-GB" w:eastAsia="en-GB"/>
              </w:rPr>
              <w:t>)</w:t>
            </w:r>
          </w:p>
        </w:tc>
        <w:tc>
          <w:tcPr>
            <w:tcW w:w="1547" w:type="dxa"/>
            <w:tcBorders>
              <w:top w:val="nil"/>
              <w:left w:val="single" w:sz="4" w:space="0" w:color="auto"/>
              <w:bottom w:val="nil"/>
              <w:right w:val="nil"/>
            </w:tcBorders>
            <w:shd w:val="clear" w:color="auto" w:fill="auto"/>
            <w:noWrap/>
            <w:vAlign w:val="center"/>
            <w:hideMark/>
          </w:tcPr>
          <w:p w14:paraId="116400A0" w14:textId="77777777" w:rsidR="00DF78A5" w:rsidRPr="00DF78A5" w:rsidRDefault="00DF78A5" w:rsidP="00DF78A5">
            <w:pPr>
              <w:spacing w:after="0" w:line="240" w:lineRule="auto"/>
              <w:jc w:val="center"/>
              <w:rPr>
                <w:rFonts w:ascii="Arial" w:eastAsia="Times New Roman" w:hAnsi="Arial" w:cs="Arial"/>
                <w:b/>
                <w:color w:val="000000"/>
                <w:sz w:val="16"/>
                <w:szCs w:val="16"/>
                <w:lang w:val="en-GB" w:eastAsia="en-GB"/>
              </w:rPr>
            </w:pPr>
            <w:r w:rsidRPr="00DF78A5">
              <w:rPr>
                <w:rFonts w:ascii="Arial" w:eastAsia="Times New Roman" w:hAnsi="Arial" w:cs="Arial"/>
                <w:b/>
                <w:color w:val="000000"/>
                <w:sz w:val="16"/>
                <w:szCs w:val="16"/>
                <w:lang w:val="en-GB" w:eastAsia="en-GB"/>
              </w:rPr>
              <w:t>0.5 (0.4-0.6)</w:t>
            </w:r>
          </w:p>
        </w:tc>
        <w:tc>
          <w:tcPr>
            <w:tcW w:w="709" w:type="dxa"/>
            <w:tcBorders>
              <w:top w:val="nil"/>
              <w:left w:val="nil"/>
              <w:bottom w:val="nil"/>
              <w:right w:val="single" w:sz="4" w:space="0" w:color="auto"/>
            </w:tcBorders>
            <w:shd w:val="clear" w:color="auto" w:fill="auto"/>
            <w:noWrap/>
            <w:vAlign w:val="center"/>
            <w:hideMark/>
          </w:tcPr>
          <w:p w14:paraId="4478A240" w14:textId="77777777" w:rsidR="00DF78A5" w:rsidRPr="00DF78A5" w:rsidRDefault="00DF78A5" w:rsidP="00DF78A5">
            <w:pPr>
              <w:spacing w:after="0" w:line="240" w:lineRule="auto"/>
              <w:jc w:val="center"/>
              <w:rPr>
                <w:rFonts w:ascii="Arial" w:eastAsia="Times New Roman" w:hAnsi="Arial" w:cs="Arial"/>
                <w:b/>
                <w:color w:val="000000"/>
                <w:sz w:val="16"/>
                <w:szCs w:val="16"/>
                <w:lang w:val="en-GB" w:eastAsia="en-GB"/>
              </w:rPr>
            </w:pPr>
            <w:r w:rsidRPr="00DF78A5">
              <w:rPr>
                <w:rFonts w:ascii="Arial" w:eastAsia="Times New Roman" w:hAnsi="Arial" w:cs="Arial"/>
                <w:b/>
                <w:color w:val="000000"/>
                <w:sz w:val="16"/>
                <w:szCs w:val="16"/>
                <w:lang w:val="en-GB" w:eastAsia="en-GB"/>
              </w:rPr>
              <w:t>&lt;0.01</w:t>
            </w:r>
          </w:p>
        </w:tc>
        <w:tc>
          <w:tcPr>
            <w:tcW w:w="1418" w:type="dxa"/>
            <w:tcBorders>
              <w:top w:val="nil"/>
              <w:left w:val="single" w:sz="4" w:space="0" w:color="auto"/>
              <w:bottom w:val="nil"/>
              <w:right w:val="nil"/>
            </w:tcBorders>
            <w:shd w:val="clear" w:color="auto" w:fill="auto"/>
            <w:noWrap/>
            <w:vAlign w:val="center"/>
            <w:hideMark/>
          </w:tcPr>
          <w:p w14:paraId="62F54235" w14:textId="77777777" w:rsidR="00DF78A5" w:rsidRPr="00DF78A5" w:rsidRDefault="00DF78A5" w:rsidP="00DF78A5">
            <w:pPr>
              <w:spacing w:after="0" w:line="240" w:lineRule="auto"/>
              <w:jc w:val="center"/>
              <w:rPr>
                <w:rFonts w:ascii="Arial" w:eastAsia="Times New Roman" w:hAnsi="Arial" w:cs="Arial"/>
                <w:b/>
                <w:color w:val="000000"/>
                <w:sz w:val="16"/>
                <w:szCs w:val="16"/>
                <w:lang w:val="en-GB" w:eastAsia="en-GB"/>
              </w:rPr>
            </w:pPr>
            <w:r w:rsidRPr="00DF78A5">
              <w:rPr>
                <w:rFonts w:ascii="Arial" w:eastAsia="Times New Roman" w:hAnsi="Arial" w:cs="Arial"/>
                <w:b/>
                <w:color w:val="000000"/>
                <w:sz w:val="16"/>
                <w:szCs w:val="16"/>
                <w:lang w:val="en-GB" w:eastAsia="en-GB"/>
              </w:rPr>
              <w:t>0.4 (0.3-0.6)</w:t>
            </w:r>
          </w:p>
        </w:tc>
        <w:tc>
          <w:tcPr>
            <w:tcW w:w="708" w:type="dxa"/>
            <w:tcBorders>
              <w:top w:val="nil"/>
              <w:left w:val="nil"/>
              <w:bottom w:val="nil"/>
              <w:right w:val="single" w:sz="4" w:space="0" w:color="auto"/>
            </w:tcBorders>
            <w:shd w:val="clear" w:color="auto" w:fill="auto"/>
            <w:noWrap/>
            <w:vAlign w:val="center"/>
            <w:hideMark/>
          </w:tcPr>
          <w:p w14:paraId="75F9E263" w14:textId="77777777" w:rsidR="00DF78A5" w:rsidRPr="00DF78A5" w:rsidRDefault="00DF78A5" w:rsidP="00DF78A5">
            <w:pPr>
              <w:spacing w:after="0" w:line="240" w:lineRule="auto"/>
              <w:jc w:val="center"/>
              <w:rPr>
                <w:rFonts w:ascii="Arial" w:eastAsia="Times New Roman" w:hAnsi="Arial" w:cs="Arial"/>
                <w:b/>
                <w:color w:val="000000"/>
                <w:sz w:val="16"/>
                <w:szCs w:val="16"/>
                <w:lang w:val="en-GB" w:eastAsia="en-GB"/>
              </w:rPr>
            </w:pPr>
            <w:r w:rsidRPr="00DF78A5">
              <w:rPr>
                <w:rFonts w:ascii="Arial" w:eastAsia="Times New Roman" w:hAnsi="Arial" w:cs="Arial"/>
                <w:b/>
                <w:color w:val="000000"/>
                <w:sz w:val="16"/>
                <w:szCs w:val="16"/>
                <w:lang w:val="en-GB" w:eastAsia="en-GB"/>
              </w:rPr>
              <w:t>&lt;0.01</w:t>
            </w:r>
          </w:p>
        </w:tc>
      </w:tr>
      <w:tr w:rsidR="00DF78A5" w:rsidRPr="00DF78A5" w14:paraId="4E7F6CAF" w14:textId="77777777" w:rsidTr="00307721">
        <w:trPr>
          <w:trHeight w:val="300"/>
        </w:trPr>
        <w:tc>
          <w:tcPr>
            <w:tcW w:w="4690" w:type="dxa"/>
            <w:gridSpan w:val="3"/>
            <w:tcBorders>
              <w:top w:val="nil"/>
              <w:left w:val="nil"/>
              <w:bottom w:val="nil"/>
              <w:right w:val="single" w:sz="4" w:space="0" w:color="auto"/>
            </w:tcBorders>
            <w:shd w:val="clear" w:color="auto" w:fill="auto"/>
            <w:noWrap/>
            <w:vAlign w:val="center"/>
            <w:hideMark/>
          </w:tcPr>
          <w:p w14:paraId="6C7A3A75" w14:textId="06692ADA" w:rsidR="00DF78A5" w:rsidRPr="00DF78A5" w:rsidRDefault="00DF78A5" w:rsidP="00DF78A5">
            <w:pPr>
              <w:spacing w:after="0" w:line="240" w:lineRule="auto"/>
              <w:rPr>
                <w:rFonts w:ascii="Arial" w:eastAsia="Times New Roman" w:hAnsi="Arial" w:cs="Arial"/>
                <w:color w:val="000000"/>
                <w:sz w:val="16"/>
                <w:szCs w:val="16"/>
                <w:lang w:val="en-GB" w:eastAsia="en-GB"/>
              </w:rPr>
            </w:pPr>
            <w:r w:rsidRPr="00DF78A5">
              <w:rPr>
                <w:rFonts w:ascii="Arial" w:eastAsia="Times New Roman" w:hAnsi="Arial" w:cs="Arial"/>
                <w:b/>
                <w:bCs/>
                <w:color w:val="000000"/>
                <w:sz w:val="16"/>
                <w:szCs w:val="16"/>
                <w:lang w:val="en-GB" w:eastAsia="en-GB"/>
              </w:rPr>
              <w:t>Smoking (N=8,853)</w:t>
            </w:r>
          </w:p>
        </w:tc>
        <w:tc>
          <w:tcPr>
            <w:tcW w:w="1547" w:type="dxa"/>
            <w:tcBorders>
              <w:top w:val="nil"/>
              <w:left w:val="single" w:sz="4" w:space="0" w:color="auto"/>
              <w:bottom w:val="nil"/>
              <w:right w:val="nil"/>
            </w:tcBorders>
            <w:shd w:val="clear" w:color="auto" w:fill="auto"/>
            <w:noWrap/>
            <w:vAlign w:val="center"/>
            <w:hideMark/>
          </w:tcPr>
          <w:p w14:paraId="28218CD9" w14:textId="5B177494"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p>
        </w:tc>
        <w:tc>
          <w:tcPr>
            <w:tcW w:w="709" w:type="dxa"/>
            <w:tcBorders>
              <w:top w:val="nil"/>
              <w:left w:val="nil"/>
              <w:bottom w:val="nil"/>
              <w:right w:val="single" w:sz="4" w:space="0" w:color="auto"/>
            </w:tcBorders>
            <w:shd w:val="clear" w:color="auto" w:fill="auto"/>
            <w:noWrap/>
            <w:vAlign w:val="center"/>
            <w:hideMark/>
          </w:tcPr>
          <w:p w14:paraId="2A251B81" w14:textId="2DE0301A"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p>
        </w:tc>
        <w:tc>
          <w:tcPr>
            <w:tcW w:w="1418" w:type="dxa"/>
            <w:tcBorders>
              <w:top w:val="nil"/>
              <w:left w:val="single" w:sz="4" w:space="0" w:color="auto"/>
              <w:bottom w:val="nil"/>
              <w:right w:val="nil"/>
            </w:tcBorders>
            <w:shd w:val="clear" w:color="auto" w:fill="auto"/>
            <w:noWrap/>
            <w:vAlign w:val="center"/>
            <w:hideMark/>
          </w:tcPr>
          <w:p w14:paraId="6C9CDFF4" w14:textId="0CA22339"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p>
        </w:tc>
        <w:tc>
          <w:tcPr>
            <w:tcW w:w="708" w:type="dxa"/>
            <w:tcBorders>
              <w:top w:val="nil"/>
              <w:left w:val="nil"/>
              <w:bottom w:val="nil"/>
              <w:right w:val="single" w:sz="4" w:space="0" w:color="auto"/>
            </w:tcBorders>
            <w:shd w:val="clear" w:color="auto" w:fill="auto"/>
            <w:noWrap/>
            <w:vAlign w:val="center"/>
            <w:hideMark/>
          </w:tcPr>
          <w:p w14:paraId="59488767" w14:textId="432E0A03"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p>
        </w:tc>
      </w:tr>
      <w:tr w:rsidR="00DF78A5" w:rsidRPr="00DF78A5" w14:paraId="0A751407" w14:textId="77777777" w:rsidTr="00307721">
        <w:trPr>
          <w:trHeight w:val="300"/>
        </w:trPr>
        <w:tc>
          <w:tcPr>
            <w:tcW w:w="1418" w:type="dxa"/>
            <w:tcBorders>
              <w:top w:val="nil"/>
              <w:left w:val="nil"/>
              <w:bottom w:val="nil"/>
              <w:right w:val="nil"/>
            </w:tcBorders>
            <w:shd w:val="clear" w:color="auto" w:fill="auto"/>
            <w:noWrap/>
            <w:vAlign w:val="center"/>
            <w:hideMark/>
          </w:tcPr>
          <w:p w14:paraId="09794F7E" w14:textId="77777777" w:rsidR="00DF78A5" w:rsidRPr="00DF78A5" w:rsidRDefault="00DF78A5" w:rsidP="00DF78A5">
            <w:pPr>
              <w:spacing w:after="0" w:line="240" w:lineRule="auto"/>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 xml:space="preserve">  No</w:t>
            </w:r>
          </w:p>
        </w:tc>
        <w:tc>
          <w:tcPr>
            <w:tcW w:w="1621" w:type="dxa"/>
            <w:tcBorders>
              <w:top w:val="nil"/>
              <w:left w:val="nil"/>
              <w:bottom w:val="nil"/>
              <w:right w:val="nil"/>
            </w:tcBorders>
            <w:shd w:val="clear" w:color="auto" w:fill="auto"/>
            <w:noWrap/>
            <w:vAlign w:val="center"/>
            <w:hideMark/>
          </w:tcPr>
          <w:p w14:paraId="0DEB470E" w14:textId="5BFA90DD" w:rsidR="00DF78A5" w:rsidRPr="00DF78A5" w:rsidRDefault="00900286"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2,150/2,233 (96</w:t>
            </w:r>
            <w:r w:rsidR="00DF78A5" w:rsidRPr="00DF78A5">
              <w:rPr>
                <w:rFonts w:ascii="Arial" w:eastAsia="Times New Roman" w:hAnsi="Arial" w:cs="Arial"/>
                <w:color w:val="000000"/>
                <w:sz w:val="16"/>
                <w:szCs w:val="16"/>
                <w:lang w:val="en-GB" w:eastAsia="en-GB"/>
              </w:rPr>
              <w:t>)</w:t>
            </w:r>
          </w:p>
        </w:tc>
        <w:tc>
          <w:tcPr>
            <w:tcW w:w="1651" w:type="dxa"/>
            <w:tcBorders>
              <w:top w:val="nil"/>
              <w:left w:val="nil"/>
              <w:bottom w:val="nil"/>
              <w:right w:val="single" w:sz="4" w:space="0" w:color="auto"/>
            </w:tcBorders>
            <w:shd w:val="clear" w:color="auto" w:fill="auto"/>
            <w:noWrap/>
            <w:vAlign w:val="center"/>
            <w:hideMark/>
          </w:tcPr>
          <w:p w14:paraId="161192FE" w14:textId="73620EDC" w:rsidR="00DF78A5" w:rsidRPr="00DF78A5" w:rsidRDefault="00900286"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6,165/6,620 (93</w:t>
            </w:r>
            <w:r w:rsidR="00DF78A5" w:rsidRPr="00DF78A5">
              <w:rPr>
                <w:rFonts w:ascii="Arial" w:eastAsia="Times New Roman" w:hAnsi="Arial" w:cs="Arial"/>
                <w:color w:val="000000"/>
                <w:sz w:val="16"/>
                <w:szCs w:val="16"/>
                <w:lang w:val="en-GB" w:eastAsia="en-GB"/>
              </w:rPr>
              <w:t>)</w:t>
            </w:r>
          </w:p>
        </w:tc>
        <w:tc>
          <w:tcPr>
            <w:tcW w:w="1547" w:type="dxa"/>
            <w:tcBorders>
              <w:top w:val="nil"/>
              <w:left w:val="single" w:sz="4" w:space="0" w:color="auto"/>
              <w:bottom w:val="nil"/>
              <w:right w:val="nil"/>
            </w:tcBorders>
            <w:shd w:val="clear" w:color="auto" w:fill="auto"/>
            <w:noWrap/>
            <w:vAlign w:val="center"/>
            <w:hideMark/>
          </w:tcPr>
          <w:p w14:paraId="3B40E8E0" w14:textId="77777777"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Reference</w:t>
            </w:r>
          </w:p>
        </w:tc>
        <w:tc>
          <w:tcPr>
            <w:tcW w:w="709" w:type="dxa"/>
            <w:tcBorders>
              <w:top w:val="nil"/>
              <w:left w:val="nil"/>
              <w:bottom w:val="nil"/>
              <w:right w:val="single" w:sz="4" w:space="0" w:color="auto"/>
            </w:tcBorders>
            <w:shd w:val="clear" w:color="auto" w:fill="auto"/>
            <w:noWrap/>
            <w:vAlign w:val="center"/>
            <w:hideMark/>
          </w:tcPr>
          <w:p w14:paraId="4432A19B" w14:textId="5F873619"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w:t>
            </w:r>
          </w:p>
        </w:tc>
        <w:tc>
          <w:tcPr>
            <w:tcW w:w="1418" w:type="dxa"/>
            <w:tcBorders>
              <w:top w:val="nil"/>
              <w:left w:val="single" w:sz="4" w:space="0" w:color="auto"/>
              <w:bottom w:val="nil"/>
              <w:right w:val="nil"/>
            </w:tcBorders>
            <w:shd w:val="clear" w:color="auto" w:fill="auto"/>
            <w:noWrap/>
            <w:vAlign w:val="center"/>
            <w:hideMark/>
          </w:tcPr>
          <w:p w14:paraId="656E950B" w14:textId="503B1499"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w:t>
            </w:r>
          </w:p>
        </w:tc>
        <w:tc>
          <w:tcPr>
            <w:tcW w:w="708" w:type="dxa"/>
            <w:tcBorders>
              <w:top w:val="nil"/>
              <w:left w:val="nil"/>
              <w:bottom w:val="nil"/>
              <w:right w:val="single" w:sz="4" w:space="0" w:color="auto"/>
            </w:tcBorders>
            <w:shd w:val="clear" w:color="auto" w:fill="auto"/>
            <w:noWrap/>
            <w:vAlign w:val="center"/>
            <w:hideMark/>
          </w:tcPr>
          <w:p w14:paraId="5E58A9C0" w14:textId="4085783C"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w:t>
            </w:r>
          </w:p>
        </w:tc>
      </w:tr>
      <w:tr w:rsidR="00DF78A5" w:rsidRPr="00DF78A5" w14:paraId="3D0E49F2" w14:textId="77777777" w:rsidTr="00307721">
        <w:trPr>
          <w:trHeight w:val="300"/>
        </w:trPr>
        <w:tc>
          <w:tcPr>
            <w:tcW w:w="1418" w:type="dxa"/>
            <w:tcBorders>
              <w:top w:val="nil"/>
              <w:left w:val="nil"/>
              <w:bottom w:val="nil"/>
              <w:right w:val="nil"/>
            </w:tcBorders>
            <w:shd w:val="clear" w:color="auto" w:fill="auto"/>
            <w:noWrap/>
            <w:vAlign w:val="center"/>
            <w:hideMark/>
          </w:tcPr>
          <w:p w14:paraId="488E0BE3" w14:textId="77777777" w:rsidR="00DF78A5" w:rsidRPr="00DF78A5" w:rsidRDefault="00DF78A5" w:rsidP="00DF78A5">
            <w:pPr>
              <w:spacing w:after="0" w:line="240" w:lineRule="auto"/>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 xml:space="preserve">  Yes</w:t>
            </w:r>
          </w:p>
        </w:tc>
        <w:tc>
          <w:tcPr>
            <w:tcW w:w="1621" w:type="dxa"/>
            <w:tcBorders>
              <w:top w:val="nil"/>
              <w:left w:val="nil"/>
              <w:bottom w:val="nil"/>
              <w:right w:val="nil"/>
            </w:tcBorders>
            <w:shd w:val="clear" w:color="auto" w:fill="auto"/>
            <w:noWrap/>
            <w:vAlign w:val="center"/>
            <w:hideMark/>
          </w:tcPr>
          <w:p w14:paraId="0C6AD7EA" w14:textId="0D73EC8B" w:rsidR="00DF78A5" w:rsidRPr="00DF78A5" w:rsidRDefault="00900286"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83/2,233 (4</w:t>
            </w:r>
            <w:r w:rsidR="00DF78A5" w:rsidRPr="00DF78A5">
              <w:rPr>
                <w:rFonts w:ascii="Arial" w:eastAsia="Times New Roman" w:hAnsi="Arial" w:cs="Arial"/>
                <w:color w:val="000000"/>
                <w:sz w:val="16"/>
                <w:szCs w:val="16"/>
                <w:lang w:val="en-GB" w:eastAsia="en-GB"/>
              </w:rPr>
              <w:t>)</w:t>
            </w:r>
          </w:p>
        </w:tc>
        <w:tc>
          <w:tcPr>
            <w:tcW w:w="1651" w:type="dxa"/>
            <w:tcBorders>
              <w:top w:val="nil"/>
              <w:left w:val="nil"/>
              <w:bottom w:val="nil"/>
              <w:right w:val="single" w:sz="4" w:space="0" w:color="auto"/>
            </w:tcBorders>
            <w:shd w:val="clear" w:color="auto" w:fill="auto"/>
            <w:noWrap/>
            <w:vAlign w:val="center"/>
            <w:hideMark/>
          </w:tcPr>
          <w:p w14:paraId="79E9D451" w14:textId="2FE5BB38" w:rsidR="00DF78A5" w:rsidRPr="00DF78A5" w:rsidRDefault="00900286"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455/6,620 (7</w:t>
            </w:r>
            <w:r w:rsidR="00DF78A5" w:rsidRPr="00DF78A5">
              <w:rPr>
                <w:rFonts w:ascii="Arial" w:eastAsia="Times New Roman" w:hAnsi="Arial" w:cs="Arial"/>
                <w:color w:val="000000"/>
                <w:sz w:val="16"/>
                <w:szCs w:val="16"/>
                <w:lang w:val="en-GB" w:eastAsia="en-GB"/>
              </w:rPr>
              <w:t>)</w:t>
            </w:r>
          </w:p>
        </w:tc>
        <w:tc>
          <w:tcPr>
            <w:tcW w:w="1547" w:type="dxa"/>
            <w:tcBorders>
              <w:top w:val="nil"/>
              <w:left w:val="single" w:sz="4" w:space="0" w:color="auto"/>
              <w:bottom w:val="nil"/>
              <w:right w:val="nil"/>
            </w:tcBorders>
            <w:shd w:val="clear" w:color="auto" w:fill="auto"/>
            <w:noWrap/>
            <w:vAlign w:val="center"/>
            <w:hideMark/>
          </w:tcPr>
          <w:p w14:paraId="1A831CFE" w14:textId="77777777" w:rsidR="00DF78A5" w:rsidRPr="00DF78A5" w:rsidRDefault="00DF78A5" w:rsidP="00DF78A5">
            <w:pPr>
              <w:spacing w:after="0" w:line="240" w:lineRule="auto"/>
              <w:jc w:val="center"/>
              <w:rPr>
                <w:rFonts w:ascii="Arial" w:eastAsia="Times New Roman" w:hAnsi="Arial" w:cs="Arial"/>
                <w:b/>
                <w:color w:val="000000"/>
                <w:sz w:val="16"/>
                <w:szCs w:val="16"/>
                <w:lang w:val="en-GB" w:eastAsia="en-GB"/>
              </w:rPr>
            </w:pPr>
            <w:r w:rsidRPr="00DF78A5">
              <w:rPr>
                <w:rFonts w:ascii="Arial" w:eastAsia="Times New Roman" w:hAnsi="Arial" w:cs="Arial"/>
                <w:b/>
                <w:color w:val="000000"/>
                <w:sz w:val="16"/>
                <w:szCs w:val="16"/>
                <w:lang w:val="en-GB" w:eastAsia="en-GB"/>
              </w:rPr>
              <w:t>0.5 (0.4-0.7)</w:t>
            </w:r>
          </w:p>
        </w:tc>
        <w:tc>
          <w:tcPr>
            <w:tcW w:w="709" w:type="dxa"/>
            <w:tcBorders>
              <w:top w:val="nil"/>
              <w:left w:val="nil"/>
              <w:bottom w:val="nil"/>
              <w:right w:val="single" w:sz="4" w:space="0" w:color="auto"/>
            </w:tcBorders>
            <w:shd w:val="clear" w:color="auto" w:fill="auto"/>
            <w:noWrap/>
            <w:vAlign w:val="center"/>
            <w:hideMark/>
          </w:tcPr>
          <w:p w14:paraId="32FBEF9A" w14:textId="77777777" w:rsidR="00DF78A5" w:rsidRPr="00DF78A5" w:rsidRDefault="00DF78A5" w:rsidP="00DF78A5">
            <w:pPr>
              <w:spacing w:after="0" w:line="240" w:lineRule="auto"/>
              <w:jc w:val="center"/>
              <w:rPr>
                <w:rFonts w:ascii="Arial" w:eastAsia="Times New Roman" w:hAnsi="Arial" w:cs="Arial"/>
                <w:b/>
                <w:color w:val="000000"/>
                <w:sz w:val="16"/>
                <w:szCs w:val="16"/>
                <w:lang w:val="en-GB" w:eastAsia="en-GB"/>
              </w:rPr>
            </w:pPr>
            <w:r w:rsidRPr="00DF78A5">
              <w:rPr>
                <w:rFonts w:ascii="Arial" w:eastAsia="Times New Roman" w:hAnsi="Arial" w:cs="Arial"/>
                <w:b/>
                <w:color w:val="000000"/>
                <w:sz w:val="16"/>
                <w:szCs w:val="16"/>
                <w:lang w:val="en-GB" w:eastAsia="en-GB"/>
              </w:rPr>
              <w:t>&lt;0.01</w:t>
            </w:r>
          </w:p>
        </w:tc>
        <w:tc>
          <w:tcPr>
            <w:tcW w:w="1418" w:type="dxa"/>
            <w:tcBorders>
              <w:top w:val="nil"/>
              <w:left w:val="single" w:sz="4" w:space="0" w:color="auto"/>
              <w:bottom w:val="nil"/>
              <w:right w:val="nil"/>
            </w:tcBorders>
            <w:shd w:val="clear" w:color="auto" w:fill="auto"/>
            <w:noWrap/>
            <w:vAlign w:val="center"/>
            <w:hideMark/>
          </w:tcPr>
          <w:p w14:paraId="0623AAAF" w14:textId="0AA07CAB"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w:t>
            </w:r>
          </w:p>
        </w:tc>
        <w:tc>
          <w:tcPr>
            <w:tcW w:w="708" w:type="dxa"/>
            <w:tcBorders>
              <w:top w:val="nil"/>
              <w:left w:val="nil"/>
              <w:bottom w:val="nil"/>
              <w:right w:val="single" w:sz="4" w:space="0" w:color="auto"/>
            </w:tcBorders>
            <w:shd w:val="clear" w:color="auto" w:fill="auto"/>
            <w:noWrap/>
            <w:vAlign w:val="center"/>
            <w:hideMark/>
          </w:tcPr>
          <w:p w14:paraId="2157B6D8" w14:textId="1FF2463F"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w:t>
            </w:r>
          </w:p>
        </w:tc>
      </w:tr>
      <w:tr w:rsidR="00DF78A5" w:rsidRPr="00DF78A5" w14:paraId="5216F79D" w14:textId="77777777" w:rsidTr="00307721">
        <w:trPr>
          <w:trHeight w:val="300"/>
        </w:trPr>
        <w:tc>
          <w:tcPr>
            <w:tcW w:w="4690" w:type="dxa"/>
            <w:gridSpan w:val="3"/>
            <w:tcBorders>
              <w:top w:val="nil"/>
              <w:left w:val="nil"/>
              <w:bottom w:val="nil"/>
              <w:right w:val="single" w:sz="4" w:space="0" w:color="auto"/>
            </w:tcBorders>
            <w:shd w:val="clear" w:color="auto" w:fill="auto"/>
            <w:noWrap/>
            <w:vAlign w:val="center"/>
            <w:hideMark/>
          </w:tcPr>
          <w:p w14:paraId="71CFF1AF" w14:textId="790061CA" w:rsidR="00DF78A5" w:rsidRPr="00DF78A5" w:rsidRDefault="00DF78A5" w:rsidP="00DF78A5">
            <w:pPr>
              <w:spacing w:after="0" w:line="240" w:lineRule="auto"/>
              <w:rPr>
                <w:rFonts w:ascii="Arial" w:eastAsia="Times New Roman" w:hAnsi="Arial" w:cs="Arial"/>
                <w:color w:val="000000"/>
                <w:sz w:val="16"/>
                <w:szCs w:val="16"/>
                <w:lang w:val="en-GB" w:eastAsia="en-GB"/>
              </w:rPr>
            </w:pPr>
            <w:r w:rsidRPr="00DF78A5">
              <w:rPr>
                <w:rFonts w:ascii="Arial" w:eastAsia="Times New Roman" w:hAnsi="Arial" w:cs="Arial"/>
                <w:b/>
                <w:bCs/>
                <w:color w:val="000000"/>
                <w:sz w:val="16"/>
                <w:szCs w:val="16"/>
                <w:lang w:val="en-GB" w:eastAsia="en-GB"/>
              </w:rPr>
              <w:t>Antibiotic use 24 hours prior to admission (N=5,341)</w:t>
            </w:r>
          </w:p>
        </w:tc>
        <w:tc>
          <w:tcPr>
            <w:tcW w:w="1547" w:type="dxa"/>
            <w:tcBorders>
              <w:top w:val="nil"/>
              <w:left w:val="single" w:sz="4" w:space="0" w:color="auto"/>
              <w:bottom w:val="nil"/>
              <w:right w:val="nil"/>
            </w:tcBorders>
            <w:shd w:val="clear" w:color="auto" w:fill="auto"/>
            <w:noWrap/>
            <w:vAlign w:val="center"/>
            <w:hideMark/>
          </w:tcPr>
          <w:p w14:paraId="5177BE4F" w14:textId="1B2AFDC8"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p>
        </w:tc>
        <w:tc>
          <w:tcPr>
            <w:tcW w:w="709" w:type="dxa"/>
            <w:tcBorders>
              <w:top w:val="nil"/>
              <w:left w:val="nil"/>
              <w:bottom w:val="nil"/>
              <w:right w:val="single" w:sz="4" w:space="0" w:color="auto"/>
            </w:tcBorders>
            <w:shd w:val="clear" w:color="auto" w:fill="auto"/>
            <w:noWrap/>
            <w:vAlign w:val="center"/>
            <w:hideMark/>
          </w:tcPr>
          <w:p w14:paraId="79CCC0BA" w14:textId="5B5691FC"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p>
        </w:tc>
        <w:tc>
          <w:tcPr>
            <w:tcW w:w="1418" w:type="dxa"/>
            <w:tcBorders>
              <w:top w:val="nil"/>
              <w:left w:val="single" w:sz="4" w:space="0" w:color="auto"/>
              <w:bottom w:val="nil"/>
              <w:right w:val="nil"/>
            </w:tcBorders>
            <w:shd w:val="clear" w:color="auto" w:fill="auto"/>
            <w:noWrap/>
            <w:vAlign w:val="center"/>
            <w:hideMark/>
          </w:tcPr>
          <w:p w14:paraId="3F0A8C37" w14:textId="232B5075"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p>
        </w:tc>
        <w:tc>
          <w:tcPr>
            <w:tcW w:w="708" w:type="dxa"/>
            <w:tcBorders>
              <w:top w:val="nil"/>
              <w:left w:val="nil"/>
              <w:bottom w:val="nil"/>
              <w:right w:val="single" w:sz="4" w:space="0" w:color="auto"/>
            </w:tcBorders>
            <w:shd w:val="clear" w:color="auto" w:fill="auto"/>
            <w:noWrap/>
            <w:vAlign w:val="center"/>
            <w:hideMark/>
          </w:tcPr>
          <w:p w14:paraId="12B20282" w14:textId="4FBA5F29"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p>
        </w:tc>
      </w:tr>
      <w:tr w:rsidR="00DF78A5" w:rsidRPr="00DF78A5" w14:paraId="05959F66" w14:textId="77777777" w:rsidTr="00307721">
        <w:trPr>
          <w:trHeight w:val="300"/>
        </w:trPr>
        <w:tc>
          <w:tcPr>
            <w:tcW w:w="1418" w:type="dxa"/>
            <w:tcBorders>
              <w:top w:val="nil"/>
              <w:left w:val="nil"/>
              <w:bottom w:val="nil"/>
              <w:right w:val="nil"/>
            </w:tcBorders>
            <w:shd w:val="clear" w:color="auto" w:fill="auto"/>
            <w:noWrap/>
            <w:vAlign w:val="center"/>
            <w:hideMark/>
          </w:tcPr>
          <w:p w14:paraId="56261953" w14:textId="77777777" w:rsidR="00DF78A5" w:rsidRPr="00DF78A5" w:rsidRDefault="00DF78A5" w:rsidP="00DF78A5">
            <w:pPr>
              <w:spacing w:after="0" w:line="240" w:lineRule="auto"/>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 xml:space="preserve">  No</w:t>
            </w:r>
          </w:p>
        </w:tc>
        <w:tc>
          <w:tcPr>
            <w:tcW w:w="1621" w:type="dxa"/>
            <w:tcBorders>
              <w:top w:val="nil"/>
              <w:left w:val="nil"/>
              <w:bottom w:val="nil"/>
              <w:right w:val="nil"/>
            </w:tcBorders>
            <w:shd w:val="clear" w:color="auto" w:fill="auto"/>
            <w:noWrap/>
            <w:vAlign w:val="center"/>
            <w:hideMark/>
          </w:tcPr>
          <w:p w14:paraId="0EA67672" w14:textId="597F7AFE"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1,207/1,295 (9</w:t>
            </w:r>
            <w:r w:rsidR="00900286">
              <w:rPr>
                <w:rFonts w:ascii="Arial" w:eastAsia="Times New Roman" w:hAnsi="Arial" w:cs="Arial"/>
                <w:color w:val="000000"/>
                <w:sz w:val="16"/>
                <w:szCs w:val="16"/>
                <w:lang w:val="en-GB" w:eastAsia="en-GB"/>
              </w:rPr>
              <w:t>3</w:t>
            </w:r>
            <w:r w:rsidRPr="00DF78A5">
              <w:rPr>
                <w:rFonts w:ascii="Arial" w:eastAsia="Times New Roman" w:hAnsi="Arial" w:cs="Arial"/>
                <w:color w:val="000000"/>
                <w:sz w:val="16"/>
                <w:szCs w:val="16"/>
                <w:lang w:val="en-GB" w:eastAsia="en-GB"/>
              </w:rPr>
              <w:t>)</w:t>
            </w:r>
          </w:p>
        </w:tc>
        <w:tc>
          <w:tcPr>
            <w:tcW w:w="1651" w:type="dxa"/>
            <w:tcBorders>
              <w:top w:val="nil"/>
              <w:left w:val="nil"/>
              <w:bottom w:val="nil"/>
              <w:right w:val="single" w:sz="4" w:space="0" w:color="auto"/>
            </w:tcBorders>
            <w:shd w:val="clear" w:color="auto" w:fill="auto"/>
            <w:noWrap/>
            <w:vAlign w:val="center"/>
            <w:hideMark/>
          </w:tcPr>
          <w:p w14:paraId="231ABF78" w14:textId="73616A15" w:rsidR="00DF78A5" w:rsidRPr="00DF78A5" w:rsidRDefault="00900286"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3,954/4,046 (98</w:t>
            </w:r>
            <w:r w:rsidR="00DF78A5" w:rsidRPr="00DF78A5">
              <w:rPr>
                <w:rFonts w:ascii="Arial" w:eastAsia="Times New Roman" w:hAnsi="Arial" w:cs="Arial"/>
                <w:color w:val="000000"/>
                <w:sz w:val="16"/>
                <w:szCs w:val="16"/>
                <w:lang w:val="en-GB" w:eastAsia="en-GB"/>
              </w:rPr>
              <w:t>)</w:t>
            </w:r>
          </w:p>
        </w:tc>
        <w:tc>
          <w:tcPr>
            <w:tcW w:w="1547" w:type="dxa"/>
            <w:tcBorders>
              <w:top w:val="nil"/>
              <w:left w:val="single" w:sz="4" w:space="0" w:color="auto"/>
              <w:bottom w:val="nil"/>
              <w:right w:val="nil"/>
            </w:tcBorders>
            <w:shd w:val="clear" w:color="auto" w:fill="auto"/>
            <w:noWrap/>
            <w:vAlign w:val="center"/>
            <w:hideMark/>
          </w:tcPr>
          <w:p w14:paraId="54302015" w14:textId="77777777"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Reference</w:t>
            </w:r>
          </w:p>
        </w:tc>
        <w:tc>
          <w:tcPr>
            <w:tcW w:w="709" w:type="dxa"/>
            <w:tcBorders>
              <w:top w:val="nil"/>
              <w:left w:val="nil"/>
              <w:bottom w:val="nil"/>
              <w:right w:val="single" w:sz="4" w:space="0" w:color="auto"/>
            </w:tcBorders>
            <w:shd w:val="clear" w:color="auto" w:fill="auto"/>
            <w:noWrap/>
            <w:vAlign w:val="center"/>
            <w:hideMark/>
          </w:tcPr>
          <w:p w14:paraId="554B9607" w14:textId="5E543E5F"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w:t>
            </w:r>
          </w:p>
        </w:tc>
        <w:tc>
          <w:tcPr>
            <w:tcW w:w="1418" w:type="dxa"/>
            <w:tcBorders>
              <w:top w:val="nil"/>
              <w:left w:val="single" w:sz="4" w:space="0" w:color="auto"/>
              <w:bottom w:val="nil"/>
              <w:right w:val="nil"/>
            </w:tcBorders>
            <w:shd w:val="clear" w:color="auto" w:fill="auto"/>
            <w:noWrap/>
            <w:vAlign w:val="center"/>
            <w:hideMark/>
          </w:tcPr>
          <w:p w14:paraId="4FC7608F" w14:textId="77777777"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Reference</w:t>
            </w:r>
          </w:p>
        </w:tc>
        <w:tc>
          <w:tcPr>
            <w:tcW w:w="708" w:type="dxa"/>
            <w:tcBorders>
              <w:top w:val="nil"/>
              <w:left w:val="nil"/>
              <w:bottom w:val="nil"/>
              <w:right w:val="single" w:sz="4" w:space="0" w:color="auto"/>
            </w:tcBorders>
            <w:shd w:val="clear" w:color="auto" w:fill="auto"/>
            <w:noWrap/>
            <w:vAlign w:val="center"/>
            <w:hideMark/>
          </w:tcPr>
          <w:p w14:paraId="2ED03BDF" w14:textId="7B46CAB2"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w:t>
            </w:r>
          </w:p>
        </w:tc>
      </w:tr>
      <w:tr w:rsidR="00DF78A5" w:rsidRPr="00DF78A5" w14:paraId="32A9C1B8" w14:textId="77777777" w:rsidTr="00307721">
        <w:trPr>
          <w:trHeight w:val="300"/>
        </w:trPr>
        <w:tc>
          <w:tcPr>
            <w:tcW w:w="1418" w:type="dxa"/>
            <w:tcBorders>
              <w:top w:val="nil"/>
              <w:left w:val="nil"/>
              <w:bottom w:val="nil"/>
              <w:right w:val="nil"/>
            </w:tcBorders>
            <w:shd w:val="clear" w:color="auto" w:fill="auto"/>
            <w:noWrap/>
            <w:vAlign w:val="center"/>
            <w:hideMark/>
          </w:tcPr>
          <w:p w14:paraId="5810C72C" w14:textId="77777777" w:rsidR="00DF78A5" w:rsidRPr="00DF78A5" w:rsidRDefault="00DF78A5" w:rsidP="00DF78A5">
            <w:pPr>
              <w:spacing w:after="0" w:line="240" w:lineRule="auto"/>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 xml:space="preserve">  Yes</w:t>
            </w:r>
          </w:p>
        </w:tc>
        <w:tc>
          <w:tcPr>
            <w:tcW w:w="1621" w:type="dxa"/>
            <w:tcBorders>
              <w:top w:val="nil"/>
              <w:left w:val="nil"/>
              <w:bottom w:val="nil"/>
              <w:right w:val="nil"/>
            </w:tcBorders>
            <w:shd w:val="clear" w:color="auto" w:fill="auto"/>
            <w:noWrap/>
            <w:vAlign w:val="center"/>
            <w:hideMark/>
          </w:tcPr>
          <w:p w14:paraId="16B5C8E4" w14:textId="687FD2CC" w:rsidR="00DF78A5" w:rsidRPr="00DF78A5" w:rsidRDefault="00DF78A5" w:rsidP="00900286">
            <w:pPr>
              <w:spacing w:after="0" w:line="240" w:lineRule="auto"/>
              <w:jc w:val="center"/>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88/1,295 (</w:t>
            </w:r>
            <w:r w:rsidR="00900286">
              <w:rPr>
                <w:rFonts w:ascii="Arial" w:eastAsia="Times New Roman" w:hAnsi="Arial" w:cs="Arial"/>
                <w:color w:val="000000"/>
                <w:sz w:val="16"/>
                <w:szCs w:val="16"/>
                <w:lang w:val="en-GB" w:eastAsia="en-GB"/>
              </w:rPr>
              <w:t>7</w:t>
            </w:r>
            <w:r w:rsidRPr="00DF78A5">
              <w:rPr>
                <w:rFonts w:ascii="Arial" w:eastAsia="Times New Roman" w:hAnsi="Arial" w:cs="Arial"/>
                <w:color w:val="000000"/>
                <w:sz w:val="16"/>
                <w:szCs w:val="16"/>
                <w:lang w:val="en-GB" w:eastAsia="en-GB"/>
              </w:rPr>
              <w:t>)</w:t>
            </w:r>
          </w:p>
        </w:tc>
        <w:tc>
          <w:tcPr>
            <w:tcW w:w="1651" w:type="dxa"/>
            <w:tcBorders>
              <w:top w:val="nil"/>
              <w:left w:val="nil"/>
              <w:bottom w:val="nil"/>
              <w:right w:val="single" w:sz="4" w:space="0" w:color="auto"/>
            </w:tcBorders>
            <w:shd w:val="clear" w:color="auto" w:fill="auto"/>
            <w:noWrap/>
            <w:vAlign w:val="center"/>
            <w:hideMark/>
          </w:tcPr>
          <w:p w14:paraId="56E88780" w14:textId="7F58883D" w:rsidR="00DF78A5" w:rsidRPr="00DF78A5" w:rsidRDefault="00900286"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92/4,046 (2</w:t>
            </w:r>
            <w:r w:rsidR="00DF78A5" w:rsidRPr="00DF78A5">
              <w:rPr>
                <w:rFonts w:ascii="Arial" w:eastAsia="Times New Roman" w:hAnsi="Arial" w:cs="Arial"/>
                <w:color w:val="000000"/>
                <w:sz w:val="16"/>
                <w:szCs w:val="16"/>
                <w:lang w:val="en-GB" w:eastAsia="en-GB"/>
              </w:rPr>
              <w:t>)</w:t>
            </w:r>
          </w:p>
        </w:tc>
        <w:tc>
          <w:tcPr>
            <w:tcW w:w="1547" w:type="dxa"/>
            <w:tcBorders>
              <w:top w:val="nil"/>
              <w:left w:val="single" w:sz="4" w:space="0" w:color="auto"/>
              <w:bottom w:val="nil"/>
              <w:right w:val="nil"/>
            </w:tcBorders>
            <w:shd w:val="clear" w:color="auto" w:fill="auto"/>
            <w:noWrap/>
            <w:vAlign w:val="center"/>
            <w:hideMark/>
          </w:tcPr>
          <w:p w14:paraId="31A32DF1" w14:textId="77777777" w:rsidR="00DF78A5" w:rsidRPr="00DF78A5" w:rsidRDefault="00DF78A5" w:rsidP="00DF78A5">
            <w:pPr>
              <w:spacing w:after="0" w:line="240" w:lineRule="auto"/>
              <w:jc w:val="center"/>
              <w:rPr>
                <w:rFonts w:ascii="Arial" w:eastAsia="Times New Roman" w:hAnsi="Arial" w:cs="Arial"/>
                <w:b/>
                <w:color w:val="000000"/>
                <w:sz w:val="16"/>
                <w:szCs w:val="16"/>
                <w:lang w:val="en-GB" w:eastAsia="en-GB"/>
              </w:rPr>
            </w:pPr>
            <w:r w:rsidRPr="00DF78A5">
              <w:rPr>
                <w:rFonts w:ascii="Arial" w:eastAsia="Times New Roman" w:hAnsi="Arial" w:cs="Arial"/>
                <w:b/>
                <w:color w:val="000000"/>
                <w:sz w:val="16"/>
                <w:szCs w:val="16"/>
                <w:lang w:val="en-GB" w:eastAsia="en-GB"/>
              </w:rPr>
              <w:t>3.1 (2.3-4.2)</w:t>
            </w:r>
          </w:p>
        </w:tc>
        <w:tc>
          <w:tcPr>
            <w:tcW w:w="709" w:type="dxa"/>
            <w:tcBorders>
              <w:top w:val="nil"/>
              <w:left w:val="nil"/>
              <w:bottom w:val="nil"/>
              <w:right w:val="single" w:sz="4" w:space="0" w:color="auto"/>
            </w:tcBorders>
            <w:shd w:val="clear" w:color="auto" w:fill="auto"/>
            <w:noWrap/>
            <w:vAlign w:val="center"/>
            <w:hideMark/>
          </w:tcPr>
          <w:p w14:paraId="5C26345D" w14:textId="77777777" w:rsidR="00DF78A5" w:rsidRPr="00DF78A5" w:rsidRDefault="00DF78A5" w:rsidP="00DF78A5">
            <w:pPr>
              <w:spacing w:after="0" w:line="240" w:lineRule="auto"/>
              <w:jc w:val="center"/>
              <w:rPr>
                <w:rFonts w:ascii="Arial" w:eastAsia="Times New Roman" w:hAnsi="Arial" w:cs="Arial"/>
                <w:b/>
                <w:color w:val="000000"/>
                <w:sz w:val="16"/>
                <w:szCs w:val="16"/>
                <w:lang w:val="en-GB" w:eastAsia="en-GB"/>
              </w:rPr>
            </w:pPr>
            <w:r w:rsidRPr="00DF78A5">
              <w:rPr>
                <w:rFonts w:ascii="Arial" w:eastAsia="Times New Roman" w:hAnsi="Arial" w:cs="Arial"/>
                <w:b/>
                <w:color w:val="000000"/>
                <w:sz w:val="16"/>
                <w:szCs w:val="16"/>
                <w:lang w:val="en-GB" w:eastAsia="en-GB"/>
              </w:rPr>
              <w:t>&lt;0.01</w:t>
            </w:r>
          </w:p>
        </w:tc>
        <w:tc>
          <w:tcPr>
            <w:tcW w:w="1418" w:type="dxa"/>
            <w:tcBorders>
              <w:top w:val="nil"/>
              <w:left w:val="single" w:sz="4" w:space="0" w:color="auto"/>
              <w:bottom w:val="nil"/>
              <w:right w:val="nil"/>
            </w:tcBorders>
            <w:shd w:val="clear" w:color="auto" w:fill="auto"/>
            <w:noWrap/>
            <w:vAlign w:val="center"/>
            <w:hideMark/>
          </w:tcPr>
          <w:p w14:paraId="40B3CE5E" w14:textId="77777777" w:rsidR="00DF78A5" w:rsidRPr="00DF78A5" w:rsidRDefault="00DF78A5" w:rsidP="00DF78A5">
            <w:pPr>
              <w:spacing w:after="0" w:line="240" w:lineRule="auto"/>
              <w:jc w:val="center"/>
              <w:rPr>
                <w:rFonts w:ascii="Arial" w:eastAsia="Times New Roman" w:hAnsi="Arial" w:cs="Arial"/>
                <w:b/>
                <w:color w:val="000000"/>
                <w:sz w:val="16"/>
                <w:szCs w:val="16"/>
                <w:lang w:val="en-GB" w:eastAsia="en-GB"/>
              </w:rPr>
            </w:pPr>
            <w:r w:rsidRPr="00DF78A5">
              <w:rPr>
                <w:rFonts w:ascii="Arial" w:eastAsia="Times New Roman" w:hAnsi="Arial" w:cs="Arial"/>
                <w:b/>
                <w:color w:val="000000"/>
                <w:sz w:val="16"/>
                <w:szCs w:val="16"/>
                <w:lang w:val="en-GB" w:eastAsia="en-GB"/>
              </w:rPr>
              <w:t>2.3 (1.5-3.5)</w:t>
            </w:r>
          </w:p>
        </w:tc>
        <w:tc>
          <w:tcPr>
            <w:tcW w:w="708" w:type="dxa"/>
            <w:tcBorders>
              <w:top w:val="nil"/>
              <w:left w:val="nil"/>
              <w:bottom w:val="nil"/>
              <w:right w:val="single" w:sz="4" w:space="0" w:color="auto"/>
            </w:tcBorders>
            <w:shd w:val="clear" w:color="auto" w:fill="auto"/>
            <w:noWrap/>
            <w:vAlign w:val="center"/>
            <w:hideMark/>
          </w:tcPr>
          <w:p w14:paraId="4D00CC48" w14:textId="77777777" w:rsidR="00DF78A5" w:rsidRPr="00DF78A5" w:rsidRDefault="00DF78A5" w:rsidP="00DF78A5">
            <w:pPr>
              <w:spacing w:after="0" w:line="240" w:lineRule="auto"/>
              <w:jc w:val="center"/>
              <w:rPr>
                <w:rFonts w:ascii="Arial" w:eastAsia="Times New Roman" w:hAnsi="Arial" w:cs="Arial"/>
                <w:b/>
                <w:color w:val="000000"/>
                <w:sz w:val="16"/>
                <w:szCs w:val="16"/>
                <w:lang w:val="en-GB" w:eastAsia="en-GB"/>
              </w:rPr>
            </w:pPr>
            <w:r w:rsidRPr="00DF78A5">
              <w:rPr>
                <w:rFonts w:ascii="Arial" w:eastAsia="Times New Roman" w:hAnsi="Arial" w:cs="Arial"/>
                <w:b/>
                <w:color w:val="000000"/>
                <w:sz w:val="16"/>
                <w:szCs w:val="16"/>
                <w:lang w:val="en-GB" w:eastAsia="en-GB"/>
              </w:rPr>
              <w:t>&lt;0.01</w:t>
            </w:r>
          </w:p>
        </w:tc>
      </w:tr>
      <w:tr w:rsidR="00DF78A5" w:rsidRPr="00DF78A5" w14:paraId="5C63F18D" w14:textId="77777777" w:rsidTr="00307721">
        <w:trPr>
          <w:trHeight w:val="300"/>
        </w:trPr>
        <w:tc>
          <w:tcPr>
            <w:tcW w:w="4690" w:type="dxa"/>
            <w:gridSpan w:val="3"/>
            <w:tcBorders>
              <w:top w:val="nil"/>
              <w:left w:val="nil"/>
              <w:bottom w:val="nil"/>
              <w:right w:val="single" w:sz="4" w:space="0" w:color="auto"/>
            </w:tcBorders>
            <w:shd w:val="clear" w:color="auto" w:fill="auto"/>
            <w:noWrap/>
            <w:vAlign w:val="center"/>
            <w:hideMark/>
          </w:tcPr>
          <w:p w14:paraId="7085683E" w14:textId="2B267A12" w:rsidR="00DF78A5" w:rsidRPr="00DF78A5" w:rsidRDefault="00DF78A5" w:rsidP="00DF78A5">
            <w:pPr>
              <w:spacing w:after="0" w:line="240" w:lineRule="auto"/>
              <w:rPr>
                <w:rFonts w:ascii="Arial" w:eastAsia="Times New Roman" w:hAnsi="Arial" w:cs="Arial"/>
                <w:color w:val="000000"/>
                <w:sz w:val="16"/>
                <w:szCs w:val="16"/>
                <w:lang w:val="en-GB" w:eastAsia="en-GB"/>
              </w:rPr>
            </w:pPr>
            <w:r w:rsidRPr="00DF78A5">
              <w:rPr>
                <w:rFonts w:ascii="Arial" w:eastAsia="Times New Roman" w:hAnsi="Arial" w:cs="Arial"/>
                <w:b/>
                <w:bCs/>
                <w:color w:val="000000"/>
                <w:sz w:val="16"/>
                <w:szCs w:val="16"/>
                <w:lang w:val="en-GB" w:eastAsia="en-GB"/>
              </w:rPr>
              <w:t>Antibiotic use during admission (N=8,504)</w:t>
            </w:r>
          </w:p>
        </w:tc>
        <w:tc>
          <w:tcPr>
            <w:tcW w:w="1547" w:type="dxa"/>
            <w:tcBorders>
              <w:top w:val="nil"/>
              <w:left w:val="single" w:sz="4" w:space="0" w:color="auto"/>
              <w:bottom w:val="nil"/>
              <w:right w:val="nil"/>
            </w:tcBorders>
            <w:shd w:val="clear" w:color="auto" w:fill="auto"/>
            <w:noWrap/>
            <w:vAlign w:val="center"/>
            <w:hideMark/>
          </w:tcPr>
          <w:p w14:paraId="48FD005E" w14:textId="51B5B214"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p>
        </w:tc>
        <w:tc>
          <w:tcPr>
            <w:tcW w:w="709" w:type="dxa"/>
            <w:tcBorders>
              <w:top w:val="nil"/>
              <w:left w:val="nil"/>
              <w:bottom w:val="nil"/>
              <w:right w:val="single" w:sz="4" w:space="0" w:color="auto"/>
            </w:tcBorders>
            <w:shd w:val="clear" w:color="auto" w:fill="auto"/>
            <w:noWrap/>
            <w:vAlign w:val="center"/>
            <w:hideMark/>
          </w:tcPr>
          <w:p w14:paraId="2D03FB14" w14:textId="427D886D"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p>
        </w:tc>
        <w:tc>
          <w:tcPr>
            <w:tcW w:w="1418" w:type="dxa"/>
            <w:tcBorders>
              <w:top w:val="nil"/>
              <w:left w:val="single" w:sz="4" w:space="0" w:color="auto"/>
              <w:bottom w:val="nil"/>
              <w:right w:val="nil"/>
            </w:tcBorders>
            <w:shd w:val="clear" w:color="auto" w:fill="auto"/>
            <w:noWrap/>
            <w:vAlign w:val="center"/>
            <w:hideMark/>
          </w:tcPr>
          <w:p w14:paraId="0CC3FB72" w14:textId="64E78B4C"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p>
        </w:tc>
        <w:tc>
          <w:tcPr>
            <w:tcW w:w="708" w:type="dxa"/>
            <w:tcBorders>
              <w:top w:val="nil"/>
              <w:left w:val="nil"/>
              <w:bottom w:val="nil"/>
              <w:right w:val="single" w:sz="4" w:space="0" w:color="auto"/>
            </w:tcBorders>
            <w:shd w:val="clear" w:color="auto" w:fill="auto"/>
            <w:noWrap/>
            <w:vAlign w:val="center"/>
            <w:hideMark/>
          </w:tcPr>
          <w:p w14:paraId="5591FB56" w14:textId="21D7CA50"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p>
        </w:tc>
      </w:tr>
      <w:tr w:rsidR="00DF78A5" w:rsidRPr="00DF78A5" w14:paraId="20A977EA" w14:textId="77777777" w:rsidTr="00307721">
        <w:trPr>
          <w:trHeight w:val="300"/>
        </w:trPr>
        <w:tc>
          <w:tcPr>
            <w:tcW w:w="1418" w:type="dxa"/>
            <w:tcBorders>
              <w:top w:val="nil"/>
              <w:left w:val="nil"/>
              <w:bottom w:val="nil"/>
              <w:right w:val="nil"/>
            </w:tcBorders>
            <w:shd w:val="clear" w:color="auto" w:fill="auto"/>
            <w:noWrap/>
            <w:vAlign w:val="center"/>
            <w:hideMark/>
          </w:tcPr>
          <w:p w14:paraId="013689DD" w14:textId="77777777" w:rsidR="00DF78A5" w:rsidRPr="00DF78A5" w:rsidRDefault="00DF78A5" w:rsidP="00DF78A5">
            <w:pPr>
              <w:spacing w:after="0" w:line="240" w:lineRule="auto"/>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 xml:space="preserve">  No</w:t>
            </w:r>
          </w:p>
        </w:tc>
        <w:tc>
          <w:tcPr>
            <w:tcW w:w="1621" w:type="dxa"/>
            <w:tcBorders>
              <w:top w:val="nil"/>
              <w:left w:val="nil"/>
              <w:bottom w:val="nil"/>
              <w:right w:val="nil"/>
            </w:tcBorders>
            <w:shd w:val="clear" w:color="auto" w:fill="auto"/>
            <w:noWrap/>
            <w:vAlign w:val="center"/>
            <w:hideMark/>
          </w:tcPr>
          <w:p w14:paraId="24539C62" w14:textId="5F16942B" w:rsidR="00DF78A5" w:rsidRPr="00DF78A5" w:rsidRDefault="00900286"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459/2,126 (22</w:t>
            </w:r>
            <w:r w:rsidR="00DF78A5" w:rsidRPr="00DF78A5">
              <w:rPr>
                <w:rFonts w:ascii="Arial" w:eastAsia="Times New Roman" w:hAnsi="Arial" w:cs="Arial"/>
                <w:color w:val="000000"/>
                <w:sz w:val="16"/>
                <w:szCs w:val="16"/>
                <w:lang w:val="en-GB" w:eastAsia="en-GB"/>
              </w:rPr>
              <w:t>)</w:t>
            </w:r>
          </w:p>
        </w:tc>
        <w:tc>
          <w:tcPr>
            <w:tcW w:w="1651" w:type="dxa"/>
            <w:tcBorders>
              <w:top w:val="nil"/>
              <w:left w:val="nil"/>
              <w:bottom w:val="nil"/>
              <w:right w:val="single" w:sz="4" w:space="0" w:color="auto"/>
            </w:tcBorders>
            <w:shd w:val="clear" w:color="auto" w:fill="auto"/>
            <w:noWrap/>
            <w:vAlign w:val="center"/>
            <w:hideMark/>
          </w:tcPr>
          <w:p w14:paraId="36A31ED0" w14:textId="6F502DE9" w:rsidR="00DF78A5" w:rsidRPr="00DF78A5" w:rsidRDefault="00900286"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1,130/6,378 (18</w:t>
            </w:r>
            <w:r w:rsidR="00DF78A5" w:rsidRPr="00DF78A5">
              <w:rPr>
                <w:rFonts w:ascii="Arial" w:eastAsia="Times New Roman" w:hAnsi="Arial" w:cs="Arial"/>
                <w:color w:val="000000"/>
                <w:sz w:val="16"/>
                <w:szCs w:val="16"/>
                <w:lang w:val="en-GB" w:eastAsia="en-GB"/>
              </w:rPr>
              <w:t>)</w:t>
            </w:r>
          </w:p>
        </w:tc>
        <w:tc>
          <w:tcPr>
            <w:tcW w:w="1547" w:type="dxa"/>
            <w:tcBorders>
              <w:top w:val="nil"/>
              <w:left w:val="single" w:sz="4" w:space="0" w:color="auto"/>
              <w:bottom w:val="nil"/>
              <w:right w:val="nil"/>
            </w:tcBorders>
            <w:shd w:val="clear" w:color="auto" w:fill="auto"/>
            <w:noWrap/>
            <w:vAlign w:val="center"/>
            <w:hideMark/>
          </w:tcPr>
          <w:p w14:paraId="2AE1F448" w14:textId="77777777"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Reference</w:t>
            </w:r>
          </w:p>
        </w:tc>
        <w:tc>
          <w:tcPr>
            <w:tcW w:w="709" w:type="dxa"/>
            <w:tcBorders>
              <w:top w:val="nil"/>
              <w:left w:val="nil"/>
              <w:bottom w:val="nil"/>
              <w:right w:val="single" w:sz="4" w:space="0" w:color="auto"/>
            </w:tcBorders>
            <w:shd w:val="clear" w:color="auto" w:fill="auto"/>
            <w:noWrap/>
            <w:vAlign w:val="center"/>
            <w:hideMark/>
          </w:tcPr>
          <w:p w14:paraId="396540BA" w14:textId="55ED8F67"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w:t>
            </w:r>
          </w:p>
        </w:tc>
        <w:tc>
          <w:tcPr>
            <w:tcW w:w="1418" w:type="dxa"/>
            <w:tcBorders>
              <w:top w:val="nil"/>
              <w:left w:val="single" w:sz="4" w:space="0" w:color="auto"/>
              <w:bottom w:val="nil"/>
              <w:right w:val="nil"/>
            </w:tcBorders>
            <w:shd w:val="clear" w:color="auto" w:fill="auto"/>
            <w:noWrap/>
            <w:vAlign w:val="center"/>
            <w:hideMark/>
          </w:tcPr>
          <w:p w14:paraId="7C70FFDA" w14:textId="378EE92F"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w:t>
            </w:r>
          </w:p>
        </w:tc>
        <w:tc>
          <w:tcPr>
            <w:tcW w:w="708" w:type="dxa"/>
            <w:tcBorders>
              <w:top w:val="nil"/>
              <w:left w:val="nil"/>
              <w:bottom w:val="nil"/>
              <w:right w:val="single" w:sz="4" w:space="0" w:color="auto"/>
            </w:tcBorders>
            <w:shd w:val="clear" w:color="auto" w:fill="auto"/>
            <w:noWrap/>
            <w:vAlign w:val="center"/>
            <w:hideMark/>
          </w:tcPr>
          <w:p w14:paraId="161437B2" w14:textId="452E3665"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w:t>
            </w:r>
          </w:p>
        </w:tc>
      </w:tr>
      <w:tr w:rsidR="00DF78A5" w:rsidRPr="00DF78A5" w14:paraId="7450286E" w14:textId="77777777" w:rsidTr="00307721">
        <w:trPr>
          <w:trHeight w:val="300"/>
        </w:trPr>
        <w:tc>
          <w:tcPr>
            <w:tcW w:w="1418" w:type="dxa"/>
            <w:tcBorders>
              <w:top w:val="nil"/>
              <w:left w:val="nil"/>
              <w:bottom w:val="nil"/>
              <w:right w:val="nil"/>
            </w:tcBorders>
            <w:shd w:val="clear" w:color="auto" w:fill="auto"/>
            <w:noWrap/>
            <w:vAlign w:val="center"/>
            <w:hideMark/>
          </w:tcPr>
          <w:p w14:paraId="206A1417" w14:textId="77777777" w:rsidR="00DF78A5" w:rsidRPr="00DF78A5" w:rsidRDefault="00DF78A5" w:rsidP="00DF78A5">
            <w:pPr>
              <w:spacing w:after="0" w:line="240" w:lineRule="auto"/>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 xml:space="preserve">  Yes</w:t>
            </w:r>
          </w:p>
        </w:tc>
        <w:tc>
          <w:tcPr>
            <w:tcW w:w="1621" w:type="dxa"/>
            <w:tcBorders>
              <w:top w:val="nil"/>
              <w:left w:val="nil"/>
              <w:bottom w:val="nil"/>
              <w:right w:val="nil"/>
            </w:tcBorders>
            <w:shd w:val="clear" w:color="auto" w:fill="auto"/>
            <w:noWrap/>
            <w:vAlign w:val="center"/>
            <w:hideMark/>
          </w:tcPr>
          <w:p w14:paraId="20918628" w14:textId="25CD2F63" w:rsidR="00DF78A5" w:rsidRPr="00DF78A5" w:rsidRDefault="00900286"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1,667/2,126 (78</w:t>
            </w:r>
            <w:r w:rsidR="00DF78A5" w:rsidRPr="00DF78A5">
              <w:rPr>
                <w:rFonts w:ascii="Arial" w:eastAsia="Times New Roman" w:hAnsi="Arial" w:cs="Arial"/>
                <w:color w:val="000000"/>
                <w:sz w:val="16"/>
                <w:szCs w:val="16"/>
                <w:lang w:val="en-GB" w:eastAsia="en-GB"/>
              </w:rPr>
              <w:t>)</w:t>
            </w:r>
          </w:p>
        </w:tc>
        <w:tc>
          <w:tcPr>
            <w:tcW w:w="1651" w:type="dxa"/>
            <w:tcBorders>
              <w:top w:val="nil"/>
              <w:left w:val="nil"/>
              <w:bottom w:val="nil"/>
              <w:right w:val="single" w:sz="4" w:space="0" w:color="auto"/>
            </w:tcBorders>
            <w:shd w:val="clear" w:color="auto" w:fill="auto"/>
            <w:noWrap/>
            <w:vAlign w:val="center"/>
            <w:hideMark/>
          </w:tcPr>
          <w:p w14:paraId="09D4712B" w14:textId="4D5F4524" w:rsidR="00DF78A5" w:rsidRPr="00DF78A5" w:rsidRDefault="00900286"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5,248/6,378 (82</w:t>
            </w:r>
            <w:r w:rsidR="00DF78A5" w:rsidRPr="00DF78A5">
              <w:rPr>
                <w:rFonts w:ascii="Arial" w:eastAsia="Times New Roman" w:hAnsi="Arial" w:cs="Arial"/>
                <w:color w:val="000000"/>
                <w:sz w:val="16"/>
                <w:szCs w:val="16"/>
                <w:lang w:val="en-GB" w:eastAsia="en-GB"/>
              </w:rPr>
              <w:t>)</w:t>
            </w:r>
          </w:p>
        </w:tc>
        <w:tc>
          <w:tcPr>
            <w:tcW w:w="1547" w:type="dxa"/>
            <w:tcBorders>
              <w:top w:val="nil"/>
              <w:left w:val="single" w:sz="4" w:space="0" w:color="auto"/>
              <w:bottom w:val="nil"/>
              <w:right w:val="nil"/>
            </w:tcBorders>
            <w:shd w:val="clear" w:color="auto" w:fill="auto"/>
            <w:noWrap/>
            <w:vAlign w:val="center"/>
            <w:hideMark/>
          </w:tcPr>
          <w:p w14:paraId="360640C9" w14:textId="77777777" w:rsidR="00DF78A5" w:rsidRPr="00DF78A5" w:rsidRDefault="00DF78A5" w:rsidP="00DF78A5">
            <w:pPr>
              <w:spacing w:after="0" w:line="240" w:lineRule="auto"/>
              <w:jc w:val="center"/>
              <w:rPr>
                <w:rFonts w:ascii="Arial" w:eastAsia="Times New Roman" w:hAnsi="Arial" w:cs="Arial"/>
                <w:b/>
                <w:color w:val="000000"/>
                <w:sz w:val="16"/>
                <w:szCs w:val="16"/>
                <w:lang w:val="en-GB" w:eastAsia="en-GB"/>
              </w:rPr>
            </w:pPr>
            <w:r w:rsidRPr="00DF78A5">
              <w:rPr>
                <w:rFonts w:ascii="Arial" w:eastAsia="Times New Roman" w:hAnsi="Arial" w:cs="Arial"/>
                <w:b/>
                <w:color w:val="000000"/>
                <w:sz w:val="16"/>
                <w:szCs w:val="16"/>
                <w:lang w:val="en-GB" w:eastAsia="en-GB"/>
              </w:rPr>
              <w:t>0.8 (0.7-0.9)</w:t>
            </w:r>
          </w:p>
        </w:tc>
        <w:tc>
          <w:tcPr>
            <w:tcW w:w="709" w:type="dxa"/>
            <w:tcBorders>
              <w:top w:val="nil"/>
              <w:left w:val="nil"/>
              <w:bottom w:val="nil"/>
              <w:right w:val="single" w:sz="4" w:space="0" w:color="auto"/>
            </w:tcBorders>
            <w:shd w:val="clear" w:color="auto" w:fill="auto"/>
            <w:noWrap/>
            <w:vAlign w:val="center"/>
            <w:hideMark/>
          </w:tcPr>
          <w:p w14:paraId="28F02168" w14:textId="77777777" w:rsidR="00DF78A5" w:rsidRPr="00DF78A5" w:rsidRDefault="00DF78A5" w:rsidP="00DF78A5">
            <w:pPr>
              <w:spacing w:after="0" w:line="240" w:lineRule="auto"/>
              <w:jc w:val="center"/>
              <w:rPr>
                <w:rFonts w:ascii="Arial" w:eastAsia="Times New Roman" w:hAnsi="Arial" w:cs="Arial"/>
                <w:b/>
                <w:color w:val="000000"/>
                <w:sz w:val="16"/>
                <w:szCs w:val="16"/>
                <w:lang w:val="en-GB" w:eastAsia="en-GB"/>
              </w:rPr>
            </w:pPr>
            <w:r w:rsidRPr="00DF78A5">
              <w:rPr>
                <w:rFonts w:ascii="Arial" w:eastAsia="Times New Roman" w:hAnsi="Arial" w:cs="Arial"/>
                <w:b/>
                <w:color w:val="000000"/>
                <w:sz w:val="16"/>
                <w:szCs w:val="16"/>
                <w:lang w:val="en-GB" w:eastAsia="en-GB"/>
              </w:rPr>
              <w:t>&lt;0.01</w:t>
            </w:r>
          </w:p>
        </w:tc>
        <w:tc>
          <w:tcPr>
            <w:tcW w:w="1418" w:type="dxa"/>
            <w:tcBorders>
              <w:top w:val="nil"/>
              <w:left w:val="single" w:sz="4" w:space="0" w:color="auto"/>
              <w:bottom w:val="nil"/>
              <w:right w:val="nil"/>
            </w:tcBorders>
            <w:shd w:val="clear" w:color="auto" w:fill="auto"/>
            <w:noWrap/>
            <w:vAlign w:val="center"/>
            <w:hideMark/>
          </w:tcPr>
          <w:p w14:paraId="1F3E6A13" w14:textId="1ABEC9B0"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w:t>
            </w:r>
          </w:p>
        </w:tc>
        <w:tc>
          <w:tcPr>
            <w:tcW w:w="708" w:type="dxa"/>
            <w:tcBorders>
              <w:top w:val="nil"/>
              <w:left w:val="nil"/>
              <w:bottom w:val="nil"/>
              <w:right w:val="single" w:sz="4" w:space="0" w:color="auto"/>
            </w:tcBorders>
            <w:shd w:val="clear" w:color="auto" w:fill="auto"/>
            <w:noWrap/>
            <w:vAlign w:val="center"/>
            <w:hideMark/>
          </w:tcPr>
          <w:p w14:paraId="387825D5" w14:textId="49E7926F"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w:t>
            </w:r>
          </w:p>
        </w:tc>
      </w:tr>
      <w:tr w:rsidR="00DF78A5" w:rsidRPr="00DF78A5" w14:paraId="57188A27" w14:textId="77777777" w:rsidTr="00307721">
        <w:trPr>
          <w:trHeight w:val="300"/>
        </w:trPr>
        <w:tc>
          <w:tcPr>
            <w:tcW w:w="4690" w:type="dxa"/>
            <w:gridSpan w:val="3"/>
            <w:tcBorders>
              <w:top w:val="nil"/>
              <w:left w:val="nil"/>
              <w:bottom w:val="nil"/>
              <w:right w:val="single" w:sz="4" w:space="0" w:color="auto"/>
            </w:tcBorders>
            <w:shd w:val="clear" w:color="auto" w:fill="auto"/>
            <w:noWrap/>
            <w:vAlign w:val="center"/>
            <w:hideMark/>
          </w:tcPr>
          <w:p w14:paraId="376E2521" w14:textId="51E72695" w:rsidR="00DF78A5" w:rsidRPr="00DF78A5" w:rsidRDefault="00DF78A5" w:rsidP="00DF78A5">
            <w:pPr>
              <w:spacing w:after="0" w:line="240" w:lineRule="auto"/>
              <w:rPr>
                <w:rFonts w:ascii="Arial" w:eastAsia="Times New Roman" w:hAnsi="Arial" w:cs="Arial"/>
                <w:color w:val="000000"/>
                <w:sz w:val="16"/>
                <w:szCs w:val="16"/>
                <w:lang w:val="en-GB" w:eastAsia="en-GB"/>
              </w:rPr>
            </w:pPr>
            <w:r w:rsidRPr="00DF78A5">
              <w:rPr>
                <w:rFonts w:ascii="Arial" w:eastAsia="Times New Roman" w:hAnsi="Arial" w:cs="Arial"/>
                <w:b/>
                <w:bCs/>
                <w:color w:val="000000"/>
                <w:sz w:val="16"/>
                <w:szCs w:val="16"/>
                <w:lang w:val="en-GB" w:eastAsia="en-GB"/>
              </w:rPr>
              <w:lastRenderedPageBreak/>
              <w:t>Outcome of hospitalization (N=7,283)</w:t>
            </w:r>
          </w:p>
        </w:tc>
        <w:tc>
          <w:tcPr>
            <w:tcW w:w="1547" w:type="dxa"/>
            <w:tcBorders>
              <w:top w:val="nil"/>
              <w:left w:val="single" w:sz="4" w:space="0" w:color="auto"/>
              <w:bottom w:val="nil"/>
              <w:right w:val="nil"/>
            </w:tcBorders>
            <w:shd w:val="clear" w:color="auto" w:fill="auto"/>
            <w:noWrap/>
            <w:vAlign w:val="center"/>
            <w:hideMark/>
          </w:tcPr>
          <w:p w14:paraId="1793224E" w14:textId="23DFC55B"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p>
        </w:tc>
        <w:tc>
          <w:tcPr>
            <w:tcW w:w="709" w:type="dxa"/>
            <w:tcBorders>
              <w:top w:val="nil"/>
              <w:left w:val="nil"/>
              <w:bottom w:val="nil"/>
              <w:right w:val="single" w:sz="4" w:space="0" w:color="auto"/>
            </w:tcBorders>
            <w:shd w:val="clear" w:color="auto" w:fill="auto"/>
            <w:noWrap/>
            <w:vAlign w:val="center"/>
            <w:hideMark/>
          </w:tcPr>
          <w:p w14:paraId="0297D079" w14:textId="5AA2E729"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p>
        </w:tc>
        <w:tc>
          <w:tcPr>
            <w:tcW w:w="1418" w:type="dxa"/>
            <w:tcBorders>
              <w:top w:val="nil"/>
              <w:left w:val="single" w:sz="4" w:space="0" w:color="auto"/>
              <w:bottom w:val="nil"/>
              <w:right w:val="nil"/>
            </w:tcBorders>
            <w:shd w:val="clear" w:color="auto" w:fill="auto"/>
            <w:noWrap/>
            <w:vAlign w:val="center"/>
            <w:hideMark/>
          </w:tcPr>
          <w:p w14:paraId="15256609" w14:textId="368AE517"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p>
        </w:tc>
        <w:tc>
          <w:tcPr>
            <w:tcW w:w="708" w:type="dxa"/>
            <w:tcBorders>
              <w:top w:val="nil"/>
              <w:left w:val="nil"/>
              <w:bottom w:val="nil"/>
              <w:right w:val="single" w:sz="4" w:space="0" w:color="auto"/>
            </w:tcBorders>
            <w:shd w:val="clear" w:color="auto" w:fill="auto"/>
            <w:noWrap/>
            <w:vAlign w:val="center"/>
            <w:hideMark/>
          </w:tcPr>
          <w:p w14:paraId="56C823F6" w14:textId="09836AFE"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p>
        </w:tc>
      </w:tr>
      <w:tr w:rsidR="00DF78A5" w:rsidRPr="00DF78A5" w14:paraId="0C2C9E5A" w14:textId="77777777" w:rsidTr="00307721">
        <w:trPr>
          <w:trHeight w:val="300"/>
        </w:trPr>
        <w:tc>
          <w:tcPr>
            <w:tcW w:w="1418" w:type="dxa"/>
            <w:tcBorders>
              <w:top w:val="nil"/>
              <w:left w:val="nil"/>
              <w:bottom w:val="nil"/>
              <w:right w:val="nil"/>
            </w:tcBorders>
            <w:shd w:val="clear" w:color="auto" w:fill="auto"/>
            <w:noWrap/>
            <w:vAlign w:val="center"/>
            <w:hideMark/>
          </w:tcPr>
          <w:p w14:paraId="6378E8AF" w14:textId="77777777" w:rsidR="00DF78A5" w:rsidRPr="00DF78A5" w:rsidRDefault="00DF78A5" w:rsidP="00DF78A5">
            <w:pPr>
              <w:spacing w:after="0" w:line="240" w:lineRule="auto"/>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 xml:space="preserve">  Discharged</w:t>
            </w:r>
          </w:p>
        </w:tc>
        <w:tc>
          <w:tcPr>
            <w:tcW w:w="1621" w:type="dxa"/>
            <w:tcBorders>
              <w:top w:val="nil"/>
              <w:left w:val="nil"/>
              <w:bottom w:val="nil"/>
              <w:right w:val="nil"/>
            </w:tcBorders>
            <w:shd w:val="clear" w:color="auto" w:fill="auto"/>
            <w:noWrap/>
            <w:vAlign w:val="center"/>
            <w:hideMark/>
          </w:tcPr>
          <w:p w14:paraId="30837EB5" w14:textId="301B751D" w:rsidR="00DF78A5" w:rsidRPr="00DF78A5" w:rsidRDefault="00900286"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988/1,767 (56</w:t>
            </w:r>
            <w:r w:rsidR="00DF78A5" w:rsidRPr="00DF78A5">
              <w:rPr>
                <w:rFonts w:ascii="Arial" w:eastAsia="Times New Roman" w:hAnsi="Arial" w:cs="Arial"/>
                <w:color w:val="000000"/>
                <w:sz w:val="16"/>
                <w:szCs w:val="16"/>
                <w:lang w:val="en-GB" w:eastAsia="en-GB"/>
              </w:rPr>
              <w:t>)</w:t>
            </w:r>
          </w:p>
        </w:tc>
        <w:tc>
          <w:tcPr>
            <w:tcW w:w="1651" w:type="dxa"/>
            <w:tcBorders>
              <w:top w:val="nil"/>
              <w:left w:val="nil"/>
              <w:bottom w:val="nil"/>
              <w:right w:val="single" w:sz="4" w:space="0" w:color="auto"/>
            </w:tcBorders>
            <w:shd w:val="clear" w:color="auto" w:fill="auto"/>
            <w:noWrap/>
            <w:vAlign w:val="center"/>
            <w:hideMark/>
          </w:tcPr>
          <w:p w14:paraId="3FA0A644" w14:textId="31A884DB" w:rsidR="00DF78A5" w:rsidRPr="00DF78A5" w:rsidRDefault="00900286"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4,250/5,516 (77</w:t>
            </w:r>
            <w:r w:rsidR="00DF78A5" w:rsidRPr="00DF78A5">
              <w:rPr>
                <w:rFonts w:ascii="Arial" w:eastAsia="Times New Roman" w:hAnsi="Arial" w:cs="Arial"/>
                <w:color w:val="000000"/>
                <w:sz w:val="16"/>
                <w:szCs w:val="16"/>
                <w:lang w:val="en-GB" w:eastAsia="en-GB"/>
              </w:rPr>
              <w:t>)</w:t>
            </w:r>
          </w:p>
        </w:tc>
        <w:tc>
          <w:tcPr>
            <w:tcW w:w="1547" w:type="dxa"/>
            <w:tcBorders>
              <w:top w:val="nil"/>
              <w:left w:val="single" w:sz="4" w:space="0" w:color="auto"/>
              <w:bottom w:val="nil"/>
              <w:right w:val="nil"/>
            </w:tcBorders>
            <w:shd w:val="clear" w:color="auto" w:fill="auto"/>
            <w:noWrap/>
            <w:vAlign w:val="center"/>
            <w:hideMark/>
          </w:tcPr>
          <w:p w14:paraId="1117679B" w14:textId="77777777"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Reference</w:t>
            </w:r>
          </w:p>
        </w:tc>
        <w:tc>
          <w:tcPr>
            <w:tcW w:w="709" w:type="dxa"/>
            <w:tcBorders>
              <w:top w:val="nil"/>
              <w:left w:val="nil"/>
              <w:bottom w:val="nil"/>
              <w:right w:val="single" w:sz="4" w:space="0" w:color="auto"/>
            </w:tcBorders>
            <w:shd w:val="clear" w:color="auto" w:fill="auto"/>
            <w:noWrap/>
            <w:vAlign w:val="center"/>
            <w:hideMark/>
          </w:tcPr>
          <w:p w14:paraId="49EE642C" w14:textId="6B1FAC46"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w:t>
            </w:r>
          </w:p>
        </w:tc>
        <w:tc>
          <w:tcPr>
            <w:tcW w:w="1418" w:type="dxa"/>
            <w:tcBorders>
              <w:top w:val="nil"/>
              <w:left w:val="single" w:sz="4" w:space="0" w:color="auto"/>
              <w:bottom w:val="nil"/>
              <w:right w:val="nil"/>
            </w:tcBorders>
            <w:shd w:val="clear" w:color="auto" w:fill="auto"/>
            <w:noWrap/>
            <w:vAlign w:val="center"/>
            <w:hideMark/>
          </w:tcPr>
          <w:p w14:paraId="5985D508" w14:textId="77777777"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Reference</w:t>
            </w:r>
          </w:p>
        </w:tc>
        <w:tc>
          <w:tcPr>
            <w:tcW w:w="708" w:type="dxa"/>
            <w:tcBorders>
              <w:top w:val="nil"/>
              <w:left w:val="nil"/>
              <w:bottom w:val="nil"/>
              <w:right w:val="single" w:sz="4" w:space="0" w:color="auto"/>
            </w:tcBorders>
            <w:shd w:val="clear" w:color="auto" w:fill="auto"/>
            <w:noWrap/>
            <w:vAlign w:val="center"/>
            <w:hideMark/>
          </w:tcPr>
          <w:p w14:paraId="7E4A8711" w14:textId="785FE4A4" w:rsidR="00DF78A5" w:rsidRPr="00DF78A5" w:rsidRDefault="00DF78A5"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w:t>
            </w:r>
          </w:p>
        </w:tc>
      </w:tr>
      <w:tr w:rsidR="00DF78A5" w:rsidRPr="00DF78A5" w14:paraId="6F484BA0" w14:textId="77777777" w:rsidTr="00307721">
        <w:trPr>
          <w:trHeight w:val="300"/>
        </w:trPr>
        <w:tc>
          <w:tcPr>
            <w:tcW w:w="1418" w:type="dxa"/>
            <w:tcBorders>
              <w:top w:val="nil"/>
              <w:left w:val="nil"/>
              <w:bottom w:val="nil"/>
              <w:right w:val="nil"/>
            </w:tcBorders>
            <w:shd w:val="clear" w:color="auto" w:fill="auto"/>
            <w:noWrap/>
            <w:vAlign w:val="center"/>
            <w:hideMark/>
          </w:tcPr>
          <w:p w14:paraId="26C389E2" w14:textId="77777777" w:rsidR="00DF78A5" w:rsidRPr="00DF78A5" w:rsidRDefault="00DF78A5" w:rsidP="00DF78A5">
            <w:pPr>
              <w:spacing w:after="0" w:line="240" w:lineRule="auto"/>
              <w:rPr>
                <w:rFonts w:ascii="Arial" w:eastAsia="Times New Roman" w:hAnsi="Arial" w:cs="Arial"/>
                <w:color w:val="000000"/>
                <w:sz w:val="16"/>
                <w:szCs w:val="16"/>
                <w:lang w:val="en-GB" w:eastAsia="en-GB"/>
              </w:rPr>
            </w:pPr>
            <w:r w:rsidRPr="00DF78A5">
              <w:rPr>
                <w:rFonts w:ascii="Arial" w:eastAsia="Times New Roman" w:hAnsi="Arial" w:cs="Arial"/>
                <w:color w:val="000000"/>
                <w:sz w:val="16"/>
                <w:szCs w:val="16"/>
                <w:lang w:val="en-GB" w:eastAsia="en-GB"/>
              </w:rPr>
              <w:t xml:space="preserve">  Died</w:t>
            </w:r>
          </w:p>
        </w:tc>
        <w:tc>
          <w:tcPr>
            <w:tcW w:w="1621" w:type="dxa"/>
            <w:tcBorders>
              <w:top w:val="nil"/>
              <w:left w:val="nil"/>
              <w:bottom w:val="nil"/>
              <w:right w:val="nil"/>
            </w:tcBorders>
            <w:shd w:val="clear" w:color="auto" w:fill="auto"/>
            <w:noWrap/>
            <w:vAlign w:val="center"/>
            <w:hideMark/>
          </w:tcPr>
          <w:p w14:paraId="368D7CDE" w14:textId="31525B57" w:rsidR="00DF78A5" w:rsidRPr="00DF78A5" w:rsidRDefault="00900286"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779/1,767 (44</w:t>
            </w:r>
            <w:r w:rsidR="00DF78A5" w:rsidRPr="00DF78A5">
              <w:rPr>
                <w:rFonts w:ascii="Arial" w:eastAsia="Times New Roman" w:hAnsi="Arial" w:cs="Arial"/>
                <w:color w:val="000000"/>
                <w:sz w:val="16"/>
                <w:szCs w:val="16"/>
                <w:lang w:val="en-GB" w:eastAsia="en-GB"/>
              </w:rPr>
              <w:t>)</w:t>
            </w:r>
          </w:p>
        </w:tc>
        <w:tc>
          <w:tcPr>
            <w:tcW w:w="1651" w:type="dxa"/>
            <w:tcBorders>
              <w:top w:val="nil"/>
              <w:left w:val="nil"/>
              <w:bottom w:val="nil"/>
              <w:right w:val="single" w:sz="4" w:space="0" w:color="auto"/>
            </w:tcBorders>
            <w:shd w:val="clear" w:color="auto" w:fill="auto"/>
            <w:noWrap/>
            <w:vAlign w:val="center"/>
            <w:hideMark/>
          </w:tcPr>
          <w:p w14:paraId="6CFC1B59" w14:textId="58B556FC" w:rsidR="00DF78A5" w:rsidRPr="00DF78A5" w:rsidRDefault="00900286" w:rsidP="00DF78A5">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1,266/5,516 (23</w:t>
            </w:r>
            <w:r w:rsidR="00DF78A5" w:rsidRPr="00DF78A5">
              <w:rPr>
                <w:rFonts w:ascii="Arial" w:eastAsia="Times New Roman" w:hAnsi="Arial" w:cs="Arial"/>
                <w:color w:val="000000"/>
                <w:sz w:val="16"/>
                <w:szCs w:val="16"/>
                <w:lang w:val="en-GB" w:eastAsia="en-GB"/>
              </w:rPr>
              <w:t>)</w:t>
            </w:r>
          </w:p>
        </w:tc>
        <w:tc>
          <w:tcPr>
            <w:tcW w:w="1547" w:type="dxa"/>
            <w:tcBorders>
              <w:top w:val="nil"/>
              <w:left w:val="single" w:sz="4" w:space="0" w:color="auto"/>
              <w:bottom w:val="nil"/>
              <w:right w:val="nil"/>
            </w:tcBorders>
            <w:shd w:val="clear" w:color="auto" w:fill="auto"/>
            <w:noWrap/>
            <w:vAlign w:val="center"/>
            <w:hideMark/>
          </w:tcPr>
          <w:p w14:paraId="1EB22935" w14:textId="77777777" w:rsidR="00DF78A5" w:rsidRPr="00DF78A5" w:rsidRDefault="00DF78A5" w:rsidP="00DF78A5">
            <w:pPr>
              <w:spacing w:after="0" w:line="240" w:lineRule="auto"/>
              <w:jc w:val="center"/>
              <w:rPr>
                <w:rFonts w:ascii="Arial" w:eastAsia="Times New Roman" w:hAnsi="Arial" w:cs="Arial"/>
                <w:b/>
                <w:color w:val="000000"/>
                <w:sz w:val="16"/>
                <w:szCs w:val="16"/>
                <w:lang w:val="en-GB" w:eastAsia="en-GB"/>
              </w:rPr>
            </w:pPr>
            <w:r w:rsidRPr="00DF78A5">
              <w:rPr>
                <w:rFonts w:ascii="Arial" w:eastAsia="Times New Roman" w:hAnsi="Arial" w:cs="Arial"/>
                <w:b/>
                <w:color w:val="000000"/>
                <w:sz w:val="16"/>
                <w:szCs w:val="16"/>
                <w:lang w:val="en-GB" w:eastAsia="en-GB"/>
              </w:rPr>
              <w:t>2.6 (2.4-3.0)</w:t>
            </w:r>
          </w:p>
        </w:tc>
        <w:tc>
          <w:tcPr>
            <w:tcW w:w="709" w:type="dxa"/>
            <w:tcBorders>
              <w:top w:val="nil"/>
              <w:left w:val="nil"/>
              <w:bottom w:val="nil"/>
              <w:right w:val="single" w:sz="4" w:space="0" w:color="auto"/>
            </w:tcBorders>
            <w:shd w:val="clear" w:color="auto" w:fill="auto"/>
            <w:noWrap/>
            <w:vAlign w:val="center"/>
            <w:hideMark/>
          </w:tcPr>
          <w:p w14:paraId="33E3A41B" w14:textId="77777777" w:rsidR="00DF78A5" w:rsidRPr="00DF78A5" w:rsidRDefault="00DF78A5" w:rsidP="00DF78A5">
            <w:pPr>
              <w:spacing w:after="0" w:line="240" w:lineRule="auto"/>
              <w:jc w:val="center"/>
              <w:rPr>
                <w:rFonts w:ascii="Arial" w:eastAsia="Times New Roman" w:hAnsi="Arial" w:cs="Arial"/>
                <w:b/>
                <w:color w:val="000000"/>
                <w:sz w:val="16"/>
                <w:szCs w:val="16"/>
                <w:lang w:val="en-GB" w:eastAsia="en-GB"/>
              </w:rPr>
            </w:pPr>
            <w:r w:rsidRPr="00DF78A5">
              <w:rPr>
                <w:rFonts w:ascii="Arial" w:eastAsia="Times New Roman" w:hAnsi="Arial" w:cs="Arial"/>
                <w:b/>
                <w:color w:val="000000"/>
                <w:sz w:val="16"/>
                <w:szCs w:val="16"/>
                <w:lang w:val="en-GB" w:eastAsia="en-GB"/>
              </w:rPr>
              <w:t>&lt;0.01</w:t>
            </w:r>
          </w:p>
        </w:tc>
        <w:tc>
          <w:tcPr>
            <w:tcW w:w="1418" w:type="dxa"/>
            <w:tcBorders>
              <w:top w:val="nil"/>
              <w:left w:val="single" w:sz="4" w:space="0" w:color="auto"/>
              <w:bottom w:val="nil"/>
              <w:right w:val="nil"/>
            </w:tcBorders>
            <w:shd w:val="clear" w:color="auto" w:fill="auto"/>
            <w:noWrap/>
            <w:vAlign w:val="center"/>
            <w:hideMark/>
          </w:tcPr>
          <w:p w14:paraId="3F1B6F15" w14:textId="77777777" w:rsidR="00DF78A5" w:rsidRPr="00DF78A5" w:rsidRDefault="00DF78A5" w:rsidP="00DF78A5">
            <w:pPr>
              <w:spacing w:after="0" w:line="240" w:lineRule="auto"/>
              <w:jc w:val="center"/>
              <w:rPr>
                <w:rFonts w:ascii="Arial" w:eastAsia="Times New Roman" w:hAnsi="Arial" w:cs="Arial"/>
                <w:b/>
                <w:color w:val="000000"/>
                <w:sz w:val="16"/>
                <w:szCs w:val="16"/>
                <w:lang w:val="en-GB" w:eastAsia="en-GB"/>
              </w:rPr>
            </w:pPr>
            <w:r w:rsidRPr="00DF78A5">
              <w:rPr>
                <w:rFonts w:ascii="Arial" w:eastAsia="Times New Roman" w:hAnsi="Arial" w:cs="Arial"/>
                <w:b/>
                <w:color w:val="000000"/>
                <w:sz w:val="16"/>
                <w:szCs w:val="16"/>
                <w:lang w:val="en-GB" w:eastAsia="en-GB"/>
              </w:rPr>
              <w:t>5.0 (4.0-6.4)</w:t>
            </w:r>
          </w:p>
        </w:tc>
        <w:tc>
          <w:tcPr>
            <w:tcW w:w="708" w:type="dxa"/>
            <w:tcBorders>
              <w:top w:val="nil"/>
              <w:left w:val="nil"/>
              <w:bottom w:val="nil"/>
              <w:right w:val="single" w:sz="4" w:space="0" w:color="auto"/>
            </w:tcBorders>
            <w:shd w:val="clear" w:color="auto" w:fill="auto"/>
            <w:noWrap/>
            <w:vAlign w:val="center"/>
            <w:hideMark/>
          </w:tcPr>
          <w:p w14:paraId="1A815937" w14:textId="77777777" w:rsidR="00DF78A5" w:rsidRPr="00DF78A5" w:rsidRDefault="00DF78A5" w:rsidP="00DF78A5">
            <w:pPr>
              <w:spacing w:after="0" w:line="240" w:lineRule="auto"/>
              <w:jc w:val="center"/>
              <w:rPr>
                <w:rFonts w:ascii="Arial" w:eastAsia="Times New Roman" w:hAnsi="Arial" w:cs="Arial"/>
                <w:b/>
                <w:color w:val="000000"/>
                <w:sz w:val="16"/>
                <w:szCs w:val="16"/>
                <w:lang w:val="en-GB" w:eastAsia="en-GB"/>
              </w:rPr>
            </w:pPr>
            <w:r w:rsidRPr="00DF78A5">
              <w:rPr>
                <w:rFonts w:ascii="Arial" w:eastAsia="Times New Roman" w:hAnsi="Arial" w:cs="Arial"/>
                <w:b/>
                <w:color w:val="000000"/>
                <w:sz w:val="16"/>
                <w:szCs w:val="16"/>
                <w:lang w:val="en-GB" w:eastAsia="en-GB"/>
              </w:rPr>
              <w:t>&lt;0.01</w:t>
            </w:r>
          </w:p>
        </w:tc>
      </w:tr>
    </w:tbl>
    <w:p w14:paraId="4C48AD3A" w14:textId="03A85C79" w:rsidR="002F6E14" w:rsidRPr="008A4076" w:rsidRDefault="00EF0307" w:rsidP="002F6E14">
      <w:pPr>
        <w:pStyle w:val="EndNoteBibliography"/>
        <w:spacing w:before="240" w:after="0" w:line="360" w:lineRule="auto"/>
        <w:rPr>
          <w:rStyle w:val="Hyperlink"/>
          <w:sz w:val="28"/>
        </w:rPr>
      </w:pPr>
      <w:r w:rsidRPr="00EF0307">
        <w:rPr>
          <w:color w:val="000000" w:themeColor="text1"/>
          <w:sz w:val="16"/>
          <w:szCs w:val="20"/>
        </w:rPr>
        <w:t>OR-odds ratio, 95%CI-95% confidence interval</w:t>
      </w:r>
      <w:r w:rsidRPr="00EF0307">
        <w:rPr>
          <w:color w:val="000000" w:themeColor="text1"/>
          <w:sz w:val="16"/>
          <w:szCs w:val="20"/>
          <w:vertAlign w:val="superscript"/>
        </w:rPr>
        <w:t xml:space="preserve"> </w:t>
      </w:r>
      <w:r w:rsidR="006F2AA8" w:rsidRPr="006F2AA8">
        <w:rPr>
          <w:color w:val="000000" w:themeColor="text1"/>
          <w:sz w:val="16"/>
          <w:szCs w:val="20"/>
          <w:vertAlign w:val="superscript"/>
        </w:rPr>
        <w:t>a</w:t>
      </w:r>
      <w:r w:rsidR="002F6E14" w:rsidRPr="008A4076">
        <w:rPr>
          <w:color w:val="000000" w:themeColor="text1"/>
          <w:sz w:val="16"/>
          <w:szCs w:val="20"/>
        </w:rPr>
        <w:t xml:space="preserve"> Serotype groups classified by 13-valent pneumococcal conjugate vaccine. Non-PCV: all serotypes not in PCV13, compared to serotypes in PCV13-4, 6B, 9V, 14, 18C, 19F, 23F, 1, 3, 5, 7F and 19A. </w:t>
      </w:r>
      <w:r w:rsidR="006F2AA8" w:rsidRPr="006F2AA8">
        <w:rPr>
          <w:color w:val="000000" w:themeColor="text1"/>
          <w:sz w:val="16"/>
          <w:szCs w:val="20"/>
          <w:vertAlign w:val="superscript"/>
        </w:rPr>
        <w:t>b</w:t>
      </w:r>
      <w:r w:rsidR="002F6E14" w:rsidRPr="008A4076">
        <w:rPr>
          <w:color w:val="000000" w:themeColor="text1"/>
          <w:sz w:val="16"/>
          <w:szCs w:val="20"/>
        </w:rPr>
        <w:t xml:space="preserve"> Pre-disposing conditions defined as any one or more of the following:</w:t>
      </w:r>
      <w:r w:rsidR="002F6E14" w:rsidRPr="008A4076">
        <w:rPr>
          <w:color w:val="000000" w:themeColor="text1"/>
          <w:sz w:val="20"/>
        </w:rPr>
        <w:t xml:space="preserve"> </w:t>
      </w:r>
      <w:r w:rsidR="002F6E14" w:rsidRPr="008A4076">
        <w:rPr>
          <w:color w:val="000000" w:themeColor="text1"/>
          <w:sz w:val="16"/>
          <w:szCs w:val="20"/>
        </w:rPr>
        <w:t>burns, chronic lung disease (including asthma, chronic obstructive pulmonary disorder, cystic fibrosis), chronic liver disease, chronic renal disease, cardiac conditions (including valvular disease and heart failure), cerebrovascular accident, stroke, neuromuscular diseases, cerebral palsy, metabolic diseases (including diabetes mellitus), head injury, surgery, cerebrospinal fluid leaks, ventricular shunts, cochlear implants, primary immunodeficiency conditions, complement deficiency, immunosuppression treatment (steroids/chemo/cancer treatment) protein-energy malnutrition, functional or anatomic asplenia (including sickle cell disease), malignancy, organ transplant, chromosomal conditions (including down syndrome), prematurity and aplastic anaemia.</w:t>
      </w:r>
    </w:p>
    <w:p w14:paraId="20EF49C7" w14:textId="7D76E57C" w:rsidR="0012195E" w:rsidRDefault="0012195E">
      <w:pPr>
        <w:rPr>
          <w:rStyle w:val="Hyperlink"/>
          <w:rFonts w:ascii="Arial" w:hAnsi="Arial" w:cs="Arial"/>
          <w:b/>
          <w:noProof/>
          <w:sz w:val="24"/>
          <w:szCs w:val="24"/>
          <w:lang w:val="en-US"/>
        </w:rPr>
      </w:pPr>
    </w:p>
    <w:p w14:paraId="2FA1C0B1" w14:textId="77777777" w:rsidR="000F6EBC" w:rsidRDefault="000F6EBC">
      <w:pPr>
        <w:rPr>
          <w:rStyle w:val="Hyperlink"/>
          <w:rFonts w:ascii="Arial" w:hAnsi="Arial" w:cs="Arial"/>
          <w:b/>
          <w:noProof/>
          <w:sz w:val="24"/>
          <w:szCs w:val="24"/>
          <w:lang w:val="en-US"/>
        </w:rPr>
      </w:pPr>
      <w:r>
        <w:rPr>
          <w:rStyle w:val="Hyperlink"/>
          <w:b/>
        </w:rPr>
        <w:br w:type="page"/>
      </w:r>
    </w:p>
    <w:p w14:paraId="2105336C" w14:textId="5FCB764D" w:rsidR="00307721" w:rsidRDefault="002F6E14" w:rsidP="002F6E14">
      <w:pPr>
        <w:pStyle w:val="EndNoteBibliography"/>
        <w:spacing w:after="0" w:line="360" w:lineRule="auto"/>
        <w:rPr>
          <w:rStyle w:val="Hyperlink"/>
        </w:rPr>
      </w:pPr>
      <w:r>
        <w:rPr>
          <w:rStyle w:val="Hyperlink"/>
          <w:b/>
        </w:rPr>
        <w:lastRenderedPageBreak/>
        <w:t xml:space="preserve">Supplementary Table </w:t>
      </w:r>
      <w:r w:rsidR="000F6EBC">
        <w:rPr>
          <w:rStyle w:val="Hyperlink"/>
          <w:b/>
        </w:rPr>
        <w:t>6</w:t>
      </w:r>
      <w:r>
        <w:rPr>
          <w:rStyle w:val="Hyperlink"/>
          <w:b/>
        </w:rPr>
        <w:t>.</w:t>
      </w:r>
      <w:r w:rsidRPr="004D4C98">
        <w:rPr>
          <w:rStyle w:val="Hyperlink"/>
          <w:b/>
        </w:rPr>
        <w:t xml:space="preserve"> </w:t>
      </w:r>
      <w:r w:rsidRPr="00F16732">
        <w:rPr>
          <w:rStyle w:val="Hyperlink"/>
        </w:rPr>
        <w:t xml:space="preserve">Comparison of the characteristics of patients with pneumococcal meninigits (PM) and non-meningitis invasive pneumococcal diease (nmIPD) for the post-PCV period (2013-2016). </w:t>
      </w:r>
    </w:p>
    <w:tbl>
      <w:tblPr>
        <w:tblW w:w="8564" w:type="dxa"/>
        <w:tblLook w:val="04A0" w:firstRow="1" w:lastRow="0" w:firstColumn="1" w:lastColumn="0" w:noHBand="0" w:noVBand="1"/>
      </w:tblPr>
      <w:tblGrid>
        <w:gridCol w:w="1560"/>
        <w:gridCol w:w="1559"/>
        <w:gridCol w:w="1559"/>
        <w:gridCol w:w="1276"/>
        <w:gridCol w:w="626"/>
        <w:gridCol w:w="1358"/>
        <w:gridCol w:w="626"/>
      </w:tblGrid>
      <w:tr w:rsidR="00307721" w:rsidRPr="00307721" w14:paraId="4F0FC6D7" w14:textId="77777777" w:rsidTr="00307721">
        <w:trPr>
          <w:trHeight w:val="300"/>
        </w:trPr>
        <w:tc>
          <w:tcPr>
            <w:tcW w:w="1560" w:type="dxa"/>
            <w:tcBorders>
              <w:top w:val="nil"/>
              <w:left w:val="nil"/>
              <w:right w:val="nil"/>
            </w:tcBorders>
            <w:shd w:val="clear" w:color="auto" w:fill="auto"/>
            <w:noWrap/>
            <w:vAlign w:val="bottom"/>
            <w:hideMark/>
          </w:tcPr>
          <w:p w14:paraId="45D9E8C7" w14:textId="3D2848C6" w:rsidR="00307721" w:rsidRPr="00307721" w:rsidRDefault="00307721" w:rsidP="00307721">
            <w:pPr>
              <w:spacing w:after="0" w:line="240" w:lineRule="auto"/>
              <w:rPr>
                <w:rFonts w:ascii="Arial" w:eastAsia="Times New Roman" w:hAnsi="Arial" w:cs="Arial"/>
                <w:b/>
                <w:bCs/>
                <w:color w:val="000000"/>
                <w:sz w:val="16"/>
                <w:szCs w:val="16"/>
                <w:lang w:val="en-GB" w:eastAsia="en-GB"/>
              </w:rPr>
            </w:pPr>
          </w:p>
        </w:tc>
        <w:tc>
          <w:tcPr>
            <w:tcW w:w="1559" w:type="dxa"/>
            <w:tcBorders>
              <w:top w:val="nil"/>
              <w:left w:val="nil"/>
              <w:right w:val="nil"/>
            </w:tcBorders>
            <w:shd w:val="clear" w:color="auto" w:fill="auto"/>
            <w:noWrap/>
            <w:vAlign w:val="center"/>
            <w:hideMark/>
          </w:tcPr>
          <w:p w14:paraId="53C3FD59" w14:textId="77777777" w:rsidR="00307721" w:rsidRPr="00307721" w:rsidRDefault="00307721" w:rsidP="00307721">
            <w:pPr>
              <w:spacing w:after="0" w:line="240" w:lineRule="auto"/>
              <w:jc w:val="center"/>
              <w:rPr>
                <w:rFonts w:ascii="Arial" w:eastAsia="Times New Roman" w:hAnsi="Arial" w:cs="Arial"/>
                <w:b/>
                <w:bCs/>
                <w:color w:val="000000"/>
                <w:sz w:val="16"/>
                <w:szCs w:val="16"/>
                <w:lang w:val="en-GB" w:eastAsia="en-GB"/>
              </w:rPr>
            </w:pPr>
            <w:r w:rsidRPr="00307721">
              <w:rPr>
                <w:rFonts w:ascii="Arial" w:eastAsia="Times New Roman" w:hAnsi="Arial" w:cs="Arial"/>
                <w:b/>
                <w:bCs/>
                <w:color w:val="000000"/>
                <w:sz w:val="16"/>
                <w:szCs w:val="16"/>
                <w:lang w:val="en-GB" w:eastAsia="en-GB"/>
              </w:rPr>
              <w:t>PM</w:t>
            </w:r>
          </w:p>
        </w:tc>
        <w:tc>
          <w:tcPr>
            <w:tcW w:w="1559" w:type="dxa"/>
            <w:tcBorders>
              <w:top w:val="nil"/>
              <w:left w:val="nil"/>
              <w:right w:val="single" w:sz="4" w:space="0" w:color="auto"/>
            </w:tcBorders>
            <w:shd w:val="clear" w:color="auto" w:fill="auto"/>
            <w:noWrap/>
            <w:vAlign w:val="center"/>
            <w:hideMark/>
          </w:tcPr>
          <w:p w14:paraId="20DB1E1E" w14:textId="77777777" w:rsidR="00307721" w:rsidRPr="00307721" w:rsidRDefault="00307721" w:rsidP="00307721">
            <w:pPr>
              <w:spacing w:after="0" w:line="240" w:lineRule="auto"/>
              <w:jc w:val="center"/>
              <w:rPr>
                <w:rFonts w:ascii="Arial" w:eastAsia="Times New Roman" w:hAnsi="Arial" w:cs="Arial"/>
                <w:b/>
                <w:bCs/>
                <w:color w:val="000000"/>
                <w:sz w:val="16"/>
                <w:szCs w:val="16"/>
                <w:lang w:val="en-GB" w:eastAsia="en-GB"/>
              </w:rPr>
            </w:pPr>
            <w:r w:rsidRPr="00307721">
              <w:rPr>
                <w:rFonts w:ascii="Arial" w:eastAsia="Times New Roman" w:hAnsi="Arial" w:cs="Arial"/>
                <w:b/>
                <w:bCs/>
                <w:color w:val="000000"/>
                <w:sz w:val="16"/>
                <w:szCs w:val="16"/>
                <w:lang w:val="en-GB" w:eastAsia="en-GB"/>
              </w:rPr>
              <w:t>nmIPD</w:t>
            </w:r>
          </w:p>
        </w:tc>
        <w:tc>
          <w:tcPr>
            <w:tcW w:w="1902" w:type="dxa"/>
            <w:gridSpan w:val="2"/>
            <w:tcBorders>
              <w:top w:val="nil"/>
              <w:left w:val="single" w:sz="4" w:space="0" w:color="auto"/>
              <w:right w:val="single" w:sz="4" w:space="0" w:color="auto"/>
            </w:tcBorders>
            <w:shd w:val="clear" w:color="auto" w:fill="auto"/>
            <w:noWrap/>
            <w:vAlign w:val="center"/>
            <w:hideMark/>
          </w:tcPr>
          <w:p w14:paraId="111F3620" w14:textId="77777777" w:rsidR="00307721" w:rsidRPr="00307721" w:rsidRDefault="00307721" w:rsidP="00307721">
            <w:pPr>
              <w:spacing w:after="0" w:line="240" w:lineRule="auto"/>
              <w:jc w:val="center"/>
              <w:rPr>
                <w:rFonts w:ascii="Arial" w:eastAsia="Times New Roman" w:hAnsi="Arial" w:cs="Arial"/>
                <w:b/>
                <w:bCs/>
                <w:color w:val="000000"/>
                <w:sz w:val="16"/>
                <w:szCs w:val="16"/>
                <w:lang w:val="en-GB" w:eastAsia="en-GB"/>
              </w:rPr>
            </w:pPr>
            <w:r w:rsidRPr="00307721">
              <w:rPr>
                <w:rFonts w:ascii="Arial" w:eastAsia="Times New Roman" w:hAnsi="Arial" w:cs="Arial"/>
                <w:b/>
                <w:bCs/>
                <w:color w:val="000000"/>
                <w:sz w:val="16"/>
                <w:szCs w:val="16"/>
                <w:lang w:val="en-GB" w:eastAsia="en-GB"/>
              </w:rPr>
              <w:t>Univariate analysis</w:t>
            </w:r>
          </w:p>
        </w:tc>
        <w:tc>
          <w:tcPr>
            <w:tcW w:w="1984" w:type="dxa"/>
            <w:gridSpan w:val="2"/>
            <w:tcBorders>
              <w:top w:val="nil"/>
              <w:left w:val="single" w:sz="4" w:space="0" w:color="auto"/>
              <w:right w:val="single" w:sz="4" w:space="0" w:color="auto"/>
            </w:tcBorders>
            <w:shd w:val="clear" w:color="auto" w:fill="auto"/>
            <w:noWrap/>
            <w:vAlign w:val="center"/>
            <w:hideMark/>
          </w:tcPr>
          <w:p w14:paraId="756C1934" w14:textId="7D93C8FB" w:rsidR="00307721" w:rsidRPr="00307721" w:rsidRDefault="00307721" w:rsidP="00DE007A">
            <w:pPr>
              <w:spacing w:after="0" w:line="240" w:lineRule="auto"/>
              <w:jc w:val="center"/>
              <w:rPr>
                <w:rFonts w:ascii="Arial" w:eastAsia="Times New Roman" w:hAnsi="Arial" w:cs="Arial"/>
                <w:b/>
                <w:bCs/>
                <w:color w:val="000000"/>
                <w:sz w:val="16"/>
                <w:szCs w:val="16"/>
                <w:lang w:val="en-GB" w:eastAsia="en-GB"/>
              </w:rPr>
            </w:pPr>
            <w:r w:rsidRPr="00307721">
              <w:rPr>
                <w:rFonts w:ascii="Arial" w:eastAsia="Times New Roman" w:hAnsi="Arial" w:cs="Arial"/>
                <w:b/>
                <w:bCs/>
                <w:color w:val="000000"/>
                <w:sz w:val="16"/>
                <w:szCs w:val="16"/>
                <w:lang w:val="en-GB" w:eastAsia="en-GB"/>
              </w:rPr>
              <w:t>Multivaria</w:t>
            </w:r>
            <w:r w:rsidR="00DE007A">
              <w:rPr>
                <w:rFonts w:ascii="Arial" w:eastAsia="Times New Roman" w:hAnsi="Arial" w:cs="Arial"/>
                <w:b/>
                <w:bCs/>
                <w:color w:val="000000"/>
                <w:sz w:val="16"/>
                <w:szCs w:val="16"/>
                <w:lang w:val="en-GB" w:eastAsia="en-GB"/>
              </w:rPr>
              <w:t>bl</w:t>
            </w:r>
            <w:r w:rsidRPr="00307721">
              <w:rPr>
                <w:rFonts w:ascii="Arial" w:eastAsia="Times New Roman" w:hAnsi="Arial" w:cs="Arial"/>
                <w:b/>
                <w:bCs/>
                <w:color w:val="000000"/>
                <w:sz w:val="16"/>
                <w:szCs w:val="16"/>
                <w:lang w:val="en-GB" w:eastAsia="en-GB"/>
              </w:rPr>
              <w:t>e analysis</w:t>
            </w:r>
          </w:p>
        </w:tc>
      </w:tr>
      <w:tr w:rsidR="00307721" w:rsidRPr="00307721" w14:paraId="6047CB7F" w14:textId="77777777" w:rsidTr="00307721">
        <w:trPr>
          <w:trHeight w:val="300"/>
        </w:trPr>
        <w:tc>
          <w:tcPr>
            <w:tcW w:w="1560" w:type="dxa"/>
            <w:tcBorders>
              <w:top w:val="nil"/>
              <w:left w:val="nil"/>
              <w:bottom w:val="single" w:sz="4" w:space="0" w:color="auto"/>
              <w:right w:val="nil"/>
            </w:tcBorders>
            <w:shd w:val="clear" w:color="auto" w:fill="auto"/>
            <w:noWrap/>
            <w:vAlign w:val="bottom"/>
            <w:hideMark/>
          </w:tcPr>
          <w:p w14:paraId="2B4C1620" w14:textId="77777777" w:rsidR="00307721" w:rsidRPr="00307721" w:rsidRDefault="00307721" w:rsidP="00307721">
            <w:pPr>
              <w:spacing w:after="0" w:line="240" w:lineRule="auto"/>
              <w:rPr>
                <w:rFonts w:ascii="Arial" w:eastAsia="Times New Roman" w:hAnsi="Arial" w:cs="Arial"/>
                <w:b/>
                <w:bCs/>
                <w:color w:val="000000"/>
                <w:sz w:val="16"/>
                <w:szCs w:val="16"/>
                <w:lang w:val="en-GB" w:eastAsia="en-GB"/>
              </w:rPr>
            </w:pPr>
            <w:r w:rsidRPr="00307721">
              <w:rPr>
                <w:rFonts w:ascii="Arial" w:eastAsia="Times New Roman" w:hAnsi="Arial" w:cs="Arial"/>
                <w:b/>
                <w:bCs/>
                <w:color w:val="000000"/>
                <w:sz w:val="16"/>
                <w:szCs w:val="16"/>
                <w:lang w:val="en-GB" w:eastAsia="en-GB"/>
              </w:rPr>
              <w:t>Variable</w:t>
            </w:r>
          </w:p>
        </w:tc>
        <w:tc>
          <w:tcPr>
            <w:tcW w:w="1559" w:type="dxa"/>
            <w:tcBorders>
              <w:top w:val="nil"/>
              <w:left w:val="nil"/>
              <w:bottom w:val="single" w:sz="4" w:space="0" w:color="auto"/>
              <w:right w:val="nil"/>
            </w:tcBorders>
            <w:shd w:val="clear" w:color="auto" w:fill="auto"/>
            <w:noWrap/>
            <w:vAlign w:val="center"/>
            <w:hideMark/>
          </w:tcPr>
          <w:p w14:paraId="20F9924F" w14:textId="77777777" w:rsidR="00307721" w:rsidRPr="00307721" w:rsidRDefault="00307721" w:rsidP="00307721">
            <w:pPr>
              <w:spacing w:after="0" w:line="240" w:lineRule="auto"/>
              <w:jc w:val="center"/>
              <w:rPr>
                <w:rFonts w:ascii="Arial" w:eastAsia="Times New Roman" w:hAnsi="Arial" w:cs="Arial"/>
                <w:b/>
                <w:bCs/>
                <w:color w:val="000000"/>
                <w:sz w:val="16"/>
                <w:szCs w:val="16"/>
                <w:lang w:val="en-GB" w:eastAsia="en-GB"/>
              </w:rPr>
            </w:pPr>
            <w:r w:rsidRPr="00307721">
              <w:rPr>
                <w:rFonts w:ascii="Arial" w:eastAsia="Times New Roman" w:hAnsi="Arial" w:cs="Arial"/>
                <w:b/>
                <w:bCs/>
                <w:color w:val="000000"/>
                <w:sz w:val="16"/>
                <w:szCs w:val="16"/>
                <w:lang w:val="en-GB" w:eastAsia="en-GB"/>
              </w:rPr>
              <w:t>n/N (%)</w:t>
            </w:r>
          </w:p>
        </w:tc>
        <w:tc>
          <w:tcPr>
            <w:tcW w:w="1559" w:type="dxa"/>
            <w:tcBorders>
              <w:top w:val="nil"/>
              <w:left w:val="nil"/>
              <w:bottom w:val="single" w:sz="4" w:space="0" w:color="auto"/>
              <w:right w:val="single" w:sz="4" w:space="0" w:color="auto"/>
            </w:tcBorders>
            <w:shd w:val="clear" w:color="auto" w:fill="auto"/>
            <w:noWrap/>
            <w:vAlign w:val="center"/>
            <w:hideMark/>
          </w:tcPr>
          <w:p w14:paraId="216E9B85" w14:textId="77777777" w:rsidR="00307721" w:rsidRPr="00307721" w:rsidRDefault="00307721" w:rsidP="00307721">
            <w:pPr>
              <w:spacing w:after="0" w:line="240" w:lineRule="auto"/>
              <w:jc w:val="center"/>
              <w:rPr>
                <w:rFonts w:ascii="Arial" w:eastAsia="Times New Roman" w:hAnsi="Arial" w:cs="Arial"/>
                <w:b/>
                <w:bCs/>
                <w:color w:val="000000"/>
                <w:sz w:val="16"/>
                <w:szCs w:val="16"/>
                <w:lang w:val="en-GB" w:eastAsia="en-GB"/>
              </w:rPr>
            </w:pPr>
            <w:r w:rsidRPr="00307721">
              <w:rPr>
                <w:rFonts w:ascii="Arial" w:eastAsia="Times New Roman" w:hAnsi="Arial" w:cs="Arial"/>
                <w:b/>
                <w:bCs/>
                <w:color w:val="000000"/>
                <w:sz w:val="16"/>
                <w:szCs w:val="16"/>
                <w:lang w:val="en-GB" w:eastAsia="en-GB"/>
              </w:rPr>
              <w:t>n/N (%)</w:t>
            </w:r>
          </w:p>
        </w:tc>
        <w:tc>
          <w:tcPr>
            <w:tcW w:w="1276" w:type="dxa"/>
            <w:tcBorders>
              <w:top w:val="nil"/>
              <w:left w:val="single" w:sz="4" w:space="0" w:color="auto"/>
              <w:bottom w:val="single" w:sz="4" w:space="0" w:color="auto"/>
              <w:right w:val="nil"/>
            </w:tcBorders>
            <w:shd w:val="clear" w:color="auto" w:fill="auto"/>
            <w:noWrap/>
            <w:vAlign w:val="center"/>
            <w:hideMark/>
          </w:tcPr>
          <w:p w14:paraId="2B510759" w14:textId="77777777" w:rsidR="00307721" w:rsidRPr="00307721" w:rsidRDefault="00307721" w:rsidP="00307721">
            <w:pPr>
              <w:spacing w:after="0" w:line="240" w:lineRule="auto"/>
              <w:jc w:val="center"/>
              <w:rPr>
                <w:rFonts w:ascii="Arial" w:eastAsia="Times New Roman" w:hAnsi="Arial" w:cs="Arial"/>
                <w:b/>
                <w:bCs/>
                <w:color w:val="000000"/>
                <w:sz w:val="16"/>
                <w:szCs w:val="16"/>
                <w:lang w:val="en-GB" w:eastAsia="en-GB"/>
              </w:rPr>
            </w:pPr>
            <w:r w:rsidRPr="00307721">
              <w:rPr>
                <w:rFonts w:ascii="Arial" w:eastAsia="Times New Roman" w:hAnsi="Arial" w:cs="Arial"/>
                <w:b/>
                <w:bCs/>
                <w:color w:val="000000"/>
                <w:sz w:val="16"/>
                <w:szCs w:val="16"/>
                <w:lang w:val="en-GB" w:eastAsia="en-GB"/>
              </w:rPr>
              <w:t>OR (95% CI)</w:t>
            </w:r>
          </w:p>
        </w:tc>
        <w:tc>
          <w:tcPr>
            <w:tcW w:w="626" w:type="dxa"/>
            <w:tcBorders>
              <w:top w:val="nil"/>
              <w:left w:val="nil"/>
              <w:bottom w:val="single" w:sz="4" w:space="0" w:color="auto"/>
              <w:right w:val="single" w:sz="4" w:space="0" w:color="auto"/>
            </w:tcBorders>
            <w:shd w:val="clear" w:color="auto" w:fill="auto"/>
            <w:noWrap/>
            <w:vAlign w:val="center"/>
            <w:hideMark/>
          </w:tcPr>
          <w:p w14:paraId="5E93A67D" w14:textId="77777777" w:rsidR="00307721" w:rsidRPr="00307721" w:rsidRDefault="00307721" w:rsidP="00307721">
            <w:pPr>
              <w:spacing w:after="0" w:line="240" w:lineRule="auto"/>
              <w:jc w:val="center"/>
              <w:rPr>
                <w:rFonts w:ascii="Arial" w:eastAsia="Times New Roman" w:hAnsi="Arial" w:cs="Arial"/>
                <w:b/>
                <w:bCs/>
                <w:color w:val="000000"/>
                <w:sz w:val="16"/>
                <w:szCs w:val="16"/>
                <w:lang w:val="en-GB" w:eastAsia="en-GB"/>
              </w:rPr>
            </w:pPr>
            <w:r w:rsidRPr="00307721">
              <w:rPr>
                <w:rFonts w:ascii="Arial" w:eastAsia="Times New Roman" w:hAnsi="Arial" w:cs="Arial"/>
                <w:b/>
                <w:bCs/>
                <w:color w:val="000000"/>
                <w:sz w:val="16"/>
                <w:szCs w:val="16"/>
                <w:lang w:val="en-GB" w:eastAsia="en-GB"/>
              </w:rPr>
              <w:t>p-value</w:t>
            </w:r>
          </w:p>
        </w:tc>
        <w:tc>
          <w:tcPr>
            <w:tcW w:w="1358" w:type="dxa"/>
            <w:tcBorders>
              <w:top w:val="nil"/>
              <w:left w:val="single" w:sz="4" w:space="0" w:color="auto"/>
              <w:bottom w:val="single" w:sz="4" w:space="0" w:color="auto"/>
              <w:right w:val="nil"/>
            </w:tcBorders>
            <w:shd w:val="clear" w:color="auto" w:fill="auto"/>
            <w:noWrap/>
            <w:vAlign w:val="center"/>
            <w:hideMark/>
          </w:tcPr>
          <w:p w14:paraId="6166FC59" w14:textId="64953BF6" w:rsidR="00307721" w:rsidRPr="00307721" w:rsidRDefault="00900286" w:rsidP="00307721">
            <w:pPr>
              <w:spacing w:after="0" w:line="240" w:lineRule="auto"/>
              <w:jc w:val="center"/>
              <w:rPr>
                <w:rFonts w:ascii="Arial" w:eastAsia="Times New Roman" w:hAnsi="Arial" w:cs="Arial"/>
                <w:b/>
                <w:bCs/>
                <w:color w:val="000000"/>
                <w:sz w:val="16"/>
                <w:szCs w:val="16"/>
                <w:lang w:val="en-GB" w:eastAsia="en-GB"/>
              </w:rPr>
            </w:pPr>
            <w:r>
              <w:rPr>
                <w:rFonts w:ascii="Arial" w:eastAsia="Times New Roman" w:hAnsi="Arial" w:cs="Arial"/>
                <w:b/>
                <w:bCs/>
                <w:color w:val="000000"/>
                <w:sz w:val="16"/>
                <w:szCs w:val="16"/>
                <w:lang w:val="en-GB" w:eastAsia="en-GB"/>
              </w:rPr>
              <w:t>a</w:t>
            </w:r>
            <w:r w:rsidR="00307721" w:rsidRPr="00307721">
              <w:rPr>
                <w:rFonts w:ascii="Arial" w:eastAsia="Times New Roman" w:hAnsi="Arial" w:cs="Arial"/>
                <w:b/>
                <w:bCs/>
                <w:color w:val="000000"/>
                <w:sz w:val="16"/>
                <w:szCs w:val="16"/>
                <w:lang w:val="en-GB" w:eastAsia="en-GB"/>
              </w:rPr>
              <w:t>OR (95% CI)</w:t>
            </w:r>
          </w:p>
        </w:tc>
        <w:tc>
          <w:tcPr>
            <w:tcW w:w="626" w:type="dxa"/>
            <w:tcBorders>
              <w:top w:val="nil"/>
              <w:left w:val="nil"/>
              <w:bottom w:val="single" w:sz="4" w:space="0" w:color="auto"/>
              <w:right w:val="single" w:sz="4" w:space="0" w:color="auto"/>
            </w:tcBorders>
            <w:shd w:val="clear" w:color="auto" w:fill="auto"/>
            <w:noWrap/>
            <w:vAlign w:val="center"/>
            <w:hideMark/>
          </w:tcPr>
          <w:p w14:paraId="46EBD499" w14:textId="77777777" w:rsidR="00307721" w:rsidRPr="00307721" w:rsidRDefault="00307721" w:rsidP="00307721">
            <w:pPr>
              <w:spacing w:after="0" w:line="240" w:lineRule="auto"/>
              <w:jc w:val="center"/>
              <w:rPr>
                <w:rFonts w:ascii="Arial" w:eastAsia="Times New Roman" w:hAnsi="Arial" w:cs="Arial"/>
                <w:b/>
                <w:bCs/>
                <w:color w:val="000000"/>
                <w:sz w:val="16"/>
                <w:szCs w:val="16"/>
                <w:lang w:val="en-GB" w:eastAsia="en-GB"/>
              </w:rPr>
            </w:pPr>
            <w:r w:rsidRPr="00307721">
              <w:rPr>
                <w:rFonts w:ascii="Arial" w:eastAsia="Times New Roman" w:hAnsi="Arial" w:cs="Arial"/>
                <w:b/>
                <w:bCs/>
                <w:color w:val="000000"/>
                <w:sz w:val="16"/>
                <w:szCs w:val="16"/>
                <w:lang w:val="en-GB" w:eastAsia="en-GB"/>
              </w:rPr>
              <w:t>p-value</w:t>
            </w:r>
          </w:p>
        </w:tc>
      </w:tr>
      <w:tr w:rsidR="00307721" w:rsidRPr="00307721" w14:paraId="73BDB924" w14:textId="77777777" w:rsidTr="00307721">
        <w:trPr>
          <w:trHeight w:val="300"/>
        </w:trPr>
        <w:tc>
          <w:tcPr>
            <w:tcW w:w="1560" w:type="dxa"/>
            <w:tcBorders>
              <w:top w:val="single" w:sz="4" w:space="0" w:color="auto"/>
              <w:left w:val="nil"/>
              <w:bottom w:val="nil"/>
              <w:right w:val="nil"/>
            </w:tcBorders>
            <w:shd w:val="clear" w:color="auto" w:fill="auto"/>
            <w:noWrap/>
            <w:vAlign w:val="bottom"/>
            <w:hideMark/>
          </w:tcPr>
          <w:p w14:paraId="3D569FC7" w14:textId="210C0E95" w:rsidR="00307721" w:rsidRPr="00307721" w:rsidRDefault="00307721" w:rsidP="00307721">
            <w:pPr>
              <w:spacing w:after="0" w:line="240" w:lineRule="auto"/>
              <w:rPr>
                <w:rFonts w:ascii="Arial" w:eastAsia="Times New Roman" w:hAnsi="Arial" w:cs="Arial"/>
                <w:b/>
                <w:bCs/>
                <w:color w:val="000000"/>
                <w:sz w:val="16"/>
                <w:szCs w:val="16"/>
                <w:lang w:val="en-GB" w:eastAsia="en-GB"/>
              </w:rPr>
            </w:pPr>
            <w:r w:rsidRPr="00307721">
              <w:rPr>
                <w:rFonts w:ascii="Arial" w:eastAsia="Times New Roman" w:hAnsi="Arial" w:cs="Arial"/>
                <w:b/>
                <w:bCs/>
                <w:color w:val="000000"/>
                <w:sz w:val="16"/>
                <w:szCs w:val="16"/>
                <w:lang w:val="en-GB" w:eastAsia="en-GB"/>
              </w:rPr>
              <w:t>Se</w:t>
            </w:r>
            <w:r w:rsidR="00900286">
              <w:rPr>
                <w:rFonts w:ascii="Arial" w:eastAsia="Times New Roman" w:hAnsi="Arial" w:cs="Arial"/>
                <w:b/>
                <w:bCs/>
                <w:color w:val="000000"/>
                <w:sz w:val="16"/>
                <w:szCs w:val="16"/>
                <w:lang w:val="en-GB" w:eastAsia="en-GB"/>
              </w:rPr>
              <w:t>x</w:t>
            </w:r>
            <w:r w:rsidRPr="00307721">
              <w:rPr>
                <w:rFonts w:ascii="Arial" w:eastAsia="Times New Roman" w:hAnsi="Arial" w:cs="Arial"/>
                <w:b/>
                <w:bCs/>
                <w:color w:val="000000"/>
                <w:sz w:val="16"/>
                <w:szCs w:val="16"/>
                <w:lang w:val="en-GB" w:eastAsia="en-GB"/>
              </w:rPr>
              <w:t xml:space="preserve"> (N=3,912)</w:t>
            </w:r>
          </w:p>
        </w:tc>
        <w:tc>
          <w:tcPr>
            <w:tcW w:w="1559" w:type="dxa"/>
            <w:tcBorders>
              <w:top w:val="single" w:sz="4" w:space="0" w:color="auto"/>
              <w:left w:val="nil"/>
              <w:bottom w:val="nil"/>
              <w:right w:val="nil"/>
            </w:tcBorders>
            <w:shd w:val="clear" w:color="auto" w:fill="auto"/>
            <w:noWrap/>
            <w:vAlign w:val="center"/>
            <w:hideMark/>
          </w:tcPr>
          <w:p w14:paraId="3F3C6A90" w14:textId="426E1863"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p>
        </w:tc>
        <w:tc>
          <w:tcPr>
            <w:tcW w:w="1559" w:type="dxa"/>
            <w:tcBorders>
              <w:top w:val="single" w:sz="4" w:space="0" w:color="auto"/>
              <w:left w:val="nil"/>
              <w:bottom w:val="nil"/>
              <w:right w:val="single" w:sz="4" w:space="0" w:color="auto"/>
            </w:tcBorders>
            <w:shd w:val="clear" w:color="auto" w:fill="auto"/>
            <w:noWrap/>
            <w:vAlign w:val="center"/>
            <w:hideMark/>
          </w:tcPr>
          <w:p w14:paraId="0BD0E4EA" w14:textId="14AA5E71"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p>
        </w:tc>
        <w:tc>
          <w:tcPr>
            <w:tcW w:w="1276" w:type="dxa"/>
            <w:tcBorders>
              <w:top w:val="single" w:sz="4" w:space="0" w:color="auto"/>
              <w:left w:val="single" w:sz="4" w:space="0" w:color="auto"/>
              <w:bottom w:val="nil"/>
              <w:right w:val="nil"/>
            </w:tcBorders>
            <w:shd w:val="clear" w:color="auto" w:fill="auto"/>
            <w:noWrap/>
            <w:vAlign w:val="center"/>
            <w:hideMark/>
          </w:tcPr>
          <w:p w14:paraId="67EAAD3D" w14:textId="66F5CBAC"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p>
        </w:tc>
        <w:tc>
          <w:tcPr>
            <w:tcW w:w="626" w:type="dxa"/>
            <w:tcBorders>
              <w:top w:val="single" w:sz="4" w:space="0" w:color="auto"/>
              <w:left w:val="nil"/>
              <w:bottom w:val="nil"/>
              <w:right w:val="single" w:sz="4" w:space="0" w:color="auto"/>
            </w:tcBorders>
            <w:shd w:val="clear" w:color="auto" w:fill="auto"/>
            <w:noWrap/>
            <w:vAlign w:val="center"/>
            <w:hideMark/>
          </w:tcPr>
          <w:p w14:paraId="3104DAE6" w14:textId="7E936F48"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p>
        </w:tc>
        <w:tc>
          <w:tcPr>
            <w:tcW w:w="1358" w:type="dxa"/>
            <w:tcBorders>
              <w:top w:val="single" w:sz="4" w:space="0" w:color="auto"/>
              <w:left w:val="single" w:sz="4" w:space="0" w:color="auto"/>
              <w:bottom w:val="nil"/>
              <w:right w:val="nil"/>
            </w:tcBorders>
            <w:shd w:val="clear" w:color="auto" w:fill="auto"/>
            <w:noWrap/>
            <w:vAlign w:val="center"/>
            <w:hideMark/>
          </w:tcPr>
          <w:p w14:paraId="224E65F3" w14:textId="79210946"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p>
        </w:tc>
        <w:tc>
          <w:tcPr>
            <w:tcW w:w="626" w:type="dxa"/>
            <w:tcBorders>
              <w:top w:val="single" w:sz="4" w:space="0" w:color="auto"/>
              <w:left w:val="nil"/>
              <w:bottom w:val="nil"/>
              <w:right w:val="single" w:sz="4" w:space="0" w:color="auto"/>
            </w:tcBorders>
            <w:shd w:val="clear" w:color="auto" w:fill="auto"/>
            <w:noWrap/>
            <w:vAlign w:val="center"/>
            <w:hideMark/>
          </w:tcPr>
          <w:p w14:paraId="34A9DE30" w14:textId="036DC6D5"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p>
        </w:tc>
      </w:tr>
      <w:tr w:rsidR="00307721" w:rsidRPr="00307721" w14:paraId="79C92B00" w14:textId="77777777" w:rsidTr="00307721">
        <w:trPr>
          <w:trHeight w:val="300"/>
        </w:trPr>
        <w:tc>
          <w:tcPr>
            <w:tcW w:w="1560" w:type="dxa"/>
            <w:tcBorders>
              <w:top w:val="nil"/>
              <w:left w:val="nil"/>
              <w:bottom w:val="nil"/>
              <w:right w:val="nil"/>
            </w:tcBorders>
            <w:shd w:val="clear" w:color="auto" w:fill="auto"/>
            <w:noWrap/>
            <w:vAlign w:val="bottom"/>
            <w:hideMark/>
          </w:tcPr>
          <w:p w14:paraId="507494E3" w14:textId="77777777" w:rsidR="00307721" w:rsidRPr="00307721" w:rsidRDefault="00307721" w:rsidP="00307721">
            <w:pPr>
              <w:spacing w:after="0" w:line="240" w:lineRule="auto"/>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 xml:space="preserve">  Female </w:t>
            </w:r>
          </w:p>
        </w:tc>
        <w:tc>
          <w:tcPr>
            <w:tcW w:w="1559" w:type="dxa"/>
            <w:tcBorders>
              <w:top w:val="nil"/>
              <w:left w:val="nil"/>
              <w:bottom w:val="nil"/>
              <w:right w:val="nil"/>
            </w:tcBorders>
            <w:shd w:val="clear" w:color="auto" w:fill="auto"/>
            <w:noWrap/>
            <w:vAlign w:val="center"/>
            <w:hideMark/>
          </w:tcPr>
          <w:p w14:paraId="23809737" w14:textId="409F3236" w:rsidR="00307721" w:rsidRPr="00307721" w:rsidRDefault="00900286"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578/1,145 (51</w:t>
            </w:r>
            <w:r w:rsidR="00307721" w:rsidRPr="00307721">
              <w:rPr>
                <w:rFonts w:ascii="Arial" w:eastAsia="Times New Roman" w:hAnsi="Arial" w:cs="Arial"/>
                <w:color w:val="000000"/>
                <w:sz w:val="16"/>
                <w:szCs w:val="16"/>
                <w:lang w:val="en-GB" w:eastAsia="en-GB"/>
              </w:rPr>
              <w:t>)</w:t>
            </w:r>
          </w:p>
        </w:tc>
        <w:tc>
          <w:tcPr>
            <w:tcW w:w="1559" w:type="dxa"/>
            <w:tcBorders>
              <w:top w:val="nil"/>
              <w:left w:val="nil"/>
              <w:bottom w:val="nil"/>
              <w:right w:val="single" w:sz="4" w:space="0" w:color="auto"/>
            </w:tcBorders>
            <w:shd w:val="clear" w:color="auto" w:fill="auto"/>
            <w:noWrap/>
            <w:vAlign w:val="center"/>
            <w:hideMark/>
          </w:tcPr>
          <w:p w14:paraId="1735EF27" w14:textId="4B0FBB3F" w:rsidR="00307721" w:rsidRPr="00307721" w:rsidRDefault="00900286"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1,373/2,767 (50</w:t>
            </w:r>
            <w:r w:rsidR="00307721" w:rsidRPr="00307721">
              <w:rPr>
                <w:rFonts w:ascii="Arial" w:eastAsia="Times New Roman" w:hAnsi="Arial" w:cs="Arial"/>
                <w:color w:val="000000"/>
                <w:sz w:val="16"/>
                <w:szCs w:val="16"/>
                <w:lang w:val="en-GB" w:eastAsia="en-GB"/>
              </w:rPr>
              <w:t>)</w:t>
            </w:r>
          </w:p>
        </w:tc>
        <w:tc>
          <w:tcPr>
            <w:tcW w:w="1276" w:type="dxa"/>
            <w:tcBorders>
              <w:top w:val="nil"/>
              <w:left w:val="single" w:sz="4" w:space="0" w:color="auto"/>
              <w:bottom w:val="nil"/>
              <w:right w:val="nil"/>
            </w:tcBorders>
            <w:shd w:val="clear" w:color="auto" w:fill="auto"/>
            <w:noWrap/>
            <w:vAlign w:val="center"/>
            <w:hideMark/>
          </w:tcPr>
          <w:p w14:paraId="0B245A4D" w14:textId="77777777"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1.0 (0.9-1.2)</w:t>
            </w:r>
          </w:p>
        </w:tc>
        <w:tc>
          <w:tcPr>
            <w:tcW w:w="626" w:type="dxa"/>
            <w:tcBorders>
              <w:top w:val="nil"/>
              <w:left w:val="nil"/>
              <w:bottom w:val="nil"/>
              <w:right w:val="single" w:sz="4" w:space="0" w:color="auto"/>
            </w:tcBorders>
            <w:shd w:val="clear" w:color="auto" w:fill="auto"/>
            <w:noWrap/>
            <w:vAlign w:val="center"/>
            <w:hideMark/>
          </w:tcPr>
          <w:p w14:paraId="0CA8F91E" w14:textId="77777777"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0.63</w:t>
            </w:r>
          </w:p>
        </w:tc>
        <w:tc>
          <w:tcPr>
            <w:tcW w:w="1358" w:type="dxa"/>
            <w:tcBorders>
              <w:top w:val="nil"/>
              <w:left w:val="single" w:sz="4" w:space="0" w:color="auto"/>
              <w:bottom w:val="nil"/>
              <w:right w:val="nil"/>
            </w:tcBorders>
            <w:shd w:val="clear" w:color="auto" w:fill="auto"/>
            <w:noWrap/>
            <w:vAlign w:val="center"/>
            <w:hideMark/>
          </w:tcPr>
          <w:p w14:paraId="4969AFC4" w14:textId="5A1D85D5"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w:t>
            </w:r>
          </w:p>
        </w:tc>
        <w:tc>
          <w:tcPr>
            <w:tcW w:w="626" w:type="dxa"/>
            <w:tcBorders>
              <w:top w:val="nil"/>
              <w:left w:val="nil"/>
              <w:bottom w:val="nil"/>
              <w:right w:val="single" w:sz="4" w:space="0" w:color="auto"/>
            </w:tcBorders>
            <w:shd w:val="clear" w:color="auto" w:fill="auto"/>
            <w:noWrap/>
            <w:vAlign w:val="center"/>
            <w:hideMark/>
          </w:tcPr>
          <w:p w14:paraId="7688D10F" w14:textId="0FFC01D2"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p>
        </w:tc>
      </w:tr>
      <w:tr w:rsidR="00307721" w:rsidRPr="00307721" w14:paraId="0D0422A2" w14:textId="77777777" w:rsidTr="00307721">
        <w:trPr>
          <w:trHeight w:val="300"/>
        </w:trPr>
        <w:tc>
          <w:tcPr>
            <w:tcW w:w="1560" w:type="dxa"/>
            <w:tcBorders>
              <w:top w:val="nil"/>
              <w:left w:val="nil"/>
              <w:bottom w:val="nil"/>
              <w:right w:val="nil"/>
            </w:tcBorders>
            <w:shd w:val="clear" w:color="auto" w:fill="auto"/>
            <w:noWrap/>
            <w:vAlign w:val="bottom"/>
            <w:hideMark/>
          </w:tcPr>
          <w:p w14:paraId="35839743" w14:textId="77777777" w:rsidR="00307721" w:rsidRPr="00307721" w:rsidRDefault="00307721" w:rsidP="00307721">
            <w:pPr>
              <w:spacing w:after="0" w:line="240" w:lineRule="auto"/>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 xml:space="preserve">  Male</w:t>
            </w:r>
          </w:p>
        </w:tc>
        <w:tc>
          <w:tcPr>
            <w:tcW w:w="1559" w:type="dxa"/>
            <w:tcBorders>
              <w:top w:val="nil"/>
              <w:left w:val="nil"/>
              <w:bottom w:val="nil"/>
              <w:right w:val="nil"/>
            </w:tcBorders>
            <w:shd w:val="clear" w:color="auto" w:fill="auto"/>
            <w:noWrap/>
            <w:vAlign w:val="center"/>
            <w:hideMark/>
          </w:tcPr>
          <w:p w14:paraId="144EAD59" w14:textId="0403493A" w:rsidR="00307721" w:rsidRPr="00307721" w:rsidRDefault="00900286"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567/1,145 (50</w:t>
            </w:r>
            <w:r w:rsidR="00307721" w:rsidRPr="00307721">
              <w:rPr>
                <w:rFonts w:ascii="Arial" w:eastAsia="Times New Roman" w:hAnsi="Arial" w:cs="Arial"/>
                <w:color w:val="000000"/>
                <w:sz w:val="16"/>
                <w:szCs w:val="16"/>
                <w:lang w:val="en-GB" w:eastAsia="en-GB"/>
              </w:rPr>
              <w:t>)</w:t>
            </w:r>
          </w:p>
        </w:tc>
        <w:tc>
          <w:tcPr>
            <w:tcW w:w="1559" w:type="dxa"/>
            <w:tcBorders>
              <w:top w:val="nil"/>
              <w:left w:val="nil"/>
              <w:bottom w:val="nil"/>
              <w:right w:val="single" w:sz="4" w:space="0" w:color="auto"/>
            </w:tcBorders>
            <w:shd w:val="clear" w:color="auto" w:fill="auto"/>
            <w:noWrap/>
            <w:vAlign w:val="center"/>
            <w:hideMark/>
          </w:tcPr>
          <w:p w14:paraId="295CF82A" w14:textId="2FBADF5B" w:rsidR="00307721" w:rsidRPr="00307721" w:rsidRDefault="00900286"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1,394/2,767 (50</w:t>
            </w:r>
            <w:r w:rsidR="00307721" w:rsidRPr="00307721">
              <w:rPr>
                <w:rFonts w:ascii="Arial" w:eastAsia="Times New Roman" w:hAnsi="Arial" w:cs="Arial"/>
                <w:color w:val="000000"/>
                <w:sz w:val="16"/>
                <w:szCs w:val="16"/>
                <w:lang w:val="en-GB" w:eastAsia="en-GB"/>
              </w:rPr>
              <w:t>)</w:t>
            </w:r>
          </w:p>
        </w:tc>
        <w:tc>
          <w:tcPr>
            <w:tcW w:w="1276" w:type="dxa"/>
            <w:tcBorders>
              <w:top w:val="nil"/>
              <w:left w:val="single" w:sz="4" w:space="0" w:color="auto"/>
              <w:bottom w:val="nil"/>
              <w:right w:val="nil"/>
            </w:tcBorders>
            <w:shd w:val="clear" w:color="auto" w:fill="auto"/>
            <w:noWrap/>
            <w:vAlign w:val="center"/>
            <w:hideMark/>
          </w:tcPr>
          <w:p w14:paraId="6EA92C03" w14:textId="77777777"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Reference</w:t>
            </w:r>
          </w:p>
        </w:tc>
        <w:tc>
          <w:tcPr>
            <w:tcW w:w="626" w:type="dxa"/>
            <w:tcBorders>
              <w:top w:val="nil"/>
              <w:left w:val="nil"/>
              <w:bottom w:val="nil"/>
              <w:right w:val="single" w:sz="4" w:space="0" w:color="auto"/>
            </w:tcBorders>
            <w:shd w:val="clear" w:color="auto" w:fill="auto"/>
            <w:noWrap/>
            <w:vAlign w:val="center"/>
            <w:hideMark/>
          </w:tcPr>
          <w:p w14:paraId="6B0A573D" w14:textId="104AE9DA"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w:t>
            </w:r>
          </w:p>
        </w:tc>
        <w:tc>
          <w:tcPr>
            <w:tcW w:w="1358" w:type="dxa"/>
            <w:tcBorders>
              <w:top w:val="nil"/>
              <w:left w:val="single" w:sz="4" w:space="0" w:color="auto"/>
              <w:bottom w:val="nil"/>
              <w:right w:val="nil"/>
            </w:tcBorders>
            <w:shd w:val="clear" w:color="auto" w:fill="auto"/>
            <w:noWrap/>
            <w:vAlign w:val="center"/>
            <w:hideMark/>
          </w:tcPr>
          <w:p w14:paraId="06C1AB96" w14:textId="391F088C"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w:t>
            </w:r>
          </w:p>
        </w:tc>
        <w:tc>
          <w:tcPr>
            <w:tcW w:w="626" w:type="dxa"/>
            <w:tcBorders>
              <w:top w:val="nil"/>
              <w:left w:val="nil"/>
              <w:bottom w:val="nil"/>
              <w:right w:val="single" w:sz="4" w:space="0" w:color="auto"/>
            </w:tcBorders>
            <w:shd w:val="clear" w:color="auto" w:fill="auto"/>
            <w:noWrap/>
            <w:vAlign w:val="center"/>
            <w:hideMark/>
          </w:tcPr>
          <w:p w14:paraId="4EE046AC" w14:textId="5C19D591"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w:t>
            </w:r>
          </w:p>
        </w:tc>
      </w:tr>
      <w:tr w:rsidR="00307721" w:rsidRPr="00307721" w14:paraId="6278B23D" w14:textId="77777777" w:rsidTr="00307721">
        <w:trPr>
          <w:trHeight w:val="300"/>
        </w:trPr>
        <w:tc>
          <w:tcPr>
            <w:tcW w:w="1560" w:type="dxa"/>
            <w:tcBorders>
              <w:top w:val="nil"/>
              <w:left w:val="nil"/>
              <w:bottom w:val="nil"/>
              <w:right w:val="nil"/>
            </w:tcBorders>
            <w:shd w:val="clear" w:color="auto" w:fill="auto"/>
            <w:noWrap/>
            <w:vAlign w:val="bottom"/>
            <w:hideMark/>
          </w:tcPr>
          <w:p w14:paraId="72B154C6" w14:textId="77777777" w:rsidR="00307721" w:rsidRPr="00307721" w:rsidRDefault="00307721" w:rsidP="00307721">
            <w:pPr>
              <w:spacing w:after="0" w:line="240" w:lineRule="auto"/>
              <w:rPr>
                <w:rFonts w:ascii="Arial" w:eastAsia="Times New Roman" w:hAnsi="Arial" w:cs="Arial"/>
                <w:b/>
                <w:bCs/>
                <w:color w:val="000000"/>
                <w:sz w:val="16"/>
                <w:szCs w:val="16"/>
                <w:lang w:val="en-GB" w:eastAsia="en-GB"/>
              </w:rPr>
            </w:pPr>
            <w:r w:rsidRPr="00307721">
              <w:rPr>
                <w:rFonts w:ascii="Arial" w:eastAsia="Times New Roman" w:hAnsi="Arial" w:cs="Arial"/>
                <w:b/>
                <w:bCs/>
                <w:color w:val="000000"/>
                <w:sz w:val="16"/>
                <w:szCs w:val="16"/>
                <w:lang w:val="en-GB" w:eastAsia="en-GB"/>
              </w:rPr>
              <w:t>Age (N=3,896)</w:t>
            </w:r>
          </w:p>
        </w:tc>
        <w:tc>
          <w:tcPr>
            <w:tcW w:w="1559" w:type="dxa"/>
            <w:tcBorders>
              <w:top w:val="nil"/>
              <w:left w:val="nil"/>
              <w:bottom w:val="nil"/>
              <w:right w:val="nil"/>
            </w:tcBorders>
            <w:shd w:val="clear" w:color="auto" w:fill="auto"/>
            <w:noWrap/>
            <w:vAlign w:val="center"/>
            <w:hideMark/>
          </w:tcPr>
          <w:p w14:paraId="180E2B6A" w14:textId="1AC8F5A0"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p>
        </w:tc>
        <w:tc>
          <w:tcPr>
            <w:tcW w:w="1559" w:type="dxa"/>
            <w:tcBorders>
              <w:top w:val="nil"/>
              <w:left w:val="nil"/>
              <w:bottom w:val="nil"/>
              <w:right w:val="single" w:sz="4" w:space="0" w:color="auto"/>
            </w:tcBorders>
            <w:shd w:val="clear" w:color="auto" w:fill="auto"/>
            <w:noWrap/>
            <w:vAlign w:val="center"/>
            <w:hideMark/>
          </w:tcPr>
          <w:p w14:paraId="72A4422B" w14:textId="2A83B6B2"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p>
        </w:tc>
        <w:tc>
          <w:tcPr>
            <w:tcW w:w="1276" w:type="dxa"/>
            <w:tcBorders>
              <w:top w:val="nil"/>
              <w:left w:val="single" w:sz="4" w:space="0" w:color="auto"/>
              <w:bottom w:val="nil"/>
              <w:right w:val="nil"/>
            </w:tcBorders>
            <w:shd w:val="clear" w:color="auto" w:fill="auto"/>
            <w:noWrap/>
            <w:vAlign w:val="center"/>
            <w:hideMark/>
          </w:tcPr>
          <w:p w14:paraId="228B6276" w14:textId="1A048DA7"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p>
        </w:tc>
        <w:tc>
          <w:tcPr>
            <w:tcW w:w="626" w:type="dxa"/>
            <w:tcBorders>
              <w:top w:val="nil"/>
              <w:left w:val="nil"/>
              <w:bottom w:val="nil"/>
              <w:right w:val="single" w:sz="4" w:space="0" w:color="auto"/>
            </w:tcBorders>
            <w:shd w:val="clear" w:color="auto" w:fill="auto"/>
            <w:noWrap/>
            <w:vAlign w:val="center"/>
            <w:hideMark/>
          </w:tcPr>
          <w:p w14:paraId="584CFFA3" w14:textId="3BBB01FB"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p>
        </w:tc>
        <w:tc>
          <w:tcPr>
            <w:tcW w:w="1358" w:type="dxa"/>
            <w:tcBorders>
              <w:top w:val="nil"/>
              <w:left w:val="single" w:sz="4" w:space="0" w:color="auto"/>
              <w:bottom w:val="nil"/>
              <w:right w:val="nil"/>
            </w:tcBorders>
            <w:shd w:val="clear" w:color="auto" w:fill="auto"/>
            <w:noWrap/>
            <w:vAlign w:val="center"/>
            <w:hideMark/>
          </w:tcPr>
          <w:p w14:paraId="1CF807F4" w14:textId="1047CA83"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p>
        </w:tc>
        <w:tc>
          <w:tcPr>
            <w:tcW w:w="626" w:type="dxa"/>
            <w:tcBorders>
              <w:top w:val="nil"/>
              <w:left w:val="nil"/>
              <w:bottom w:val="nil"/>
              <w:right w:val="single" w:sz="4" w:space="0" w:color="auto"/>
            </w:tcBorders>
            <w:shd w:val="clear" w:color="auto" w:fill="auto"/>
            <w:noWrap/>
            <w:vAlign w:val="center"/>
            <w:hideMark/>
          </w:tcPr>
          <w:p w14:paraId="7255D927" w14:textId="2D30AC47"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p>
        </w:tc>
      </w:tr>
      <w:tr w:rsidR="00307721" w:rsidRPr="00307721" w14:paraId="2B790545" w14:textId="77777777" w:rsidTr="00307721">
        <w:trPr>
          <w:trHeight w:val="300"/>
        </w:trPr>
        <w:tc>
          <w:tcPr>
            <w:tcW w:w="1560" w:type="dxa"/>
            <w:tcBorders>
              <w:top w:val="nil"/>
              <w:left w:val="nil"/>
              <w:bottom w:val="nil"/>
              <w:right w:val="nil"/>
            </w:tcBorders>
            <w:shd w:val="clear" w:color="auto" w:fill="auto"/>
            <w:noWrap/>
            <w:vAlign w:val="bottom"/>
            <w:hideMark/>
          </w:tcPr>
          <w:p w14:paraId="4B5ABEC7" w14:textId="77777777" w:rsidR="00307721" w:rsidRPr="00307721" w:rsidRDefault="00307721" w:rsidP="00307721">
            <w:pPr>
              <w:spacing w:after="0" w:line="240" w:lineRule="auto"/>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 xml:space="preserve">  &lt;1 years</w:t>
            </w:r>
          </w:p>
        </w:tc>
        <w:tc>
          <w:tcPr>
            <w:tcW w:w="1559" w:type="dxa"/>
            <w:tcBorders>
              <w:top w:val="nil"/>
              <w:left w:val="nil"/>
              <w:bottom w:val="nil"/>
              <w:right w:val="nil"/>
            </w:tcBorders>
            <w:shd w:val="clear" w:color="auto" w:fill="auto"/>
            <w:noWrap/>
            <w:vAlign w:val="center"/>
            <w:hideMark/>
          </w:tcPr>
          <w:p w14:paraId="7355B25B" w14:textId="55EE694E" w:rsidR="00307721" w:rsidRPr="00307721" w:rsidRDefault="00900286"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182/1,139 (16</w:t>
            </w:r>
            <w:r w:rsidR="00307721" w:rsidRPr="00307721">
              <w:rPr>
                <w:rFonts w:ascii="Arial" w:eastAsia="Times New Roman" w:hAnsi="Arial" w:cs="Arial"/>
                <w:color w:val="000000"/>
                <w:sz w:val="16"/>
                <w:szCs w:val="16"/>
                <w:lang w:val="en-GB" w:eastAsia="en-GB"/>
              </w:rPr>
              <w:t>)</w:t>
            </w:r>
          </w:p>
        </w:tc>
        <w:tc>
          <w:tcPr>
            <w:tcW w:w="1559" w:type="dxa"/>
            <w:tcBorders>
              <w:top w:val="nil"/>
              <w:left w:val="nil"/>
              <w:bottom w:val="nil"/>
              <w:right w:val="single" w:sz="4" w:space="0" w:color="auto"/>
            </w:tcBorders>
            <w:shd w:val="clear" w:color="auto" w:fill="auto"/>
            <w:noWrap/>
            <w:vAlign w:val="center"/>
            <w:hideMark/>
          </w:tcPr>
          <w:p w14:paraId="39A833A3" w14:textId="12AC3402" w:rsidR="00307721" w:rsidRPr="00307721" w:rsidRDefault="00900286"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299/2,757 (11</w:t>
            </w:r>
            <w:r w:rsidR="00307721" w:rsidRPr="00307721">
              <w:rPr>
                <w:rFonts w:ascii="Arial" w:eastAsia="Times New Roman" w:hAnsi="Arial" w:cs="Arial"/>
                <w:color w:val="000000"/>
                <w:sz w:val="16"/>
                <w:szCs w:val="16"/>
                <w:lang w:val="en-GB" w:eastAsia="en-GB"/>
              </w:rPr>
              <w:t>)</w:t>
            </w:r>
          </w:p>
        </w:tc>
        <w:tc>
          <w:tcPr>
            <w:tcW w:w="1276" w:type="dxa"/>
            <w:tcBorders>
              <w:top w:val="nil"/>
              <w:left w:val="single" w:sz="4" w:space="0" w:color="auto"/>
              <w:bottom w:val="nil"/>
              <w:right w:val="nil"/>
            </w:tcBorders>
            <w:shd w:val="clear" w:color="auto" w:fill="auto"/>
            <w:noWrap/>
            <w:vAlign w:val="center"/>
            <w:hideMark/>
          </w:tcPr>
          <w:p w14:paraId="04D1C152"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2.1 (1.6-2.8)</w:t>
            </w:r>
          </w:p>
        </w:tc>
        <w:tc>
          <w:tcPr>
            <w:tcW w:w="626" w:type="dxa"/>
            <w:tcBorders>
              <w:top w:val="nil"/>
              <w:left w:val="nil"/>
              <w:bottom w:val="nil"/>
              <w:right w:val="single" w:sz="4" w:space="0" w:color="auto"/>
            </w:tcBorders>
            <w:shd w:val="clear" w:color="auto" w:fill="auto"/>
            <w:noWrap/>
            <w:vAlign w:val="center"/>
            <w:hideMark/>
          </w:tcPr>
          <w:p w14:paraId="7DF216BD"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&lt;0.01</w:t>
            </w:r>
          </w:p>
        </w:tc>
        <w:tc>
          <w:tcPr>
            <w:tcW w:w="1358" w:type="dxa"/>
            <w:tcBorders>
              <w:top w:val="nil"/>
              <w:left w:val="single" w:sz="4" w:space="0" w:color="auto"/>
              <w:bottom w:val="nil"/>
              <w:right w:val="nil"/>
            </w:tcBorders>
            <w:shd w:val="clear" w:color="auto" w:fill="auto"/>
            <w:noWrap/>
            <w:vAlign w:val="center"/>
            <w:hideMark/>
          </w:tcPr>
          <w:p w14:paraId="4B5F5A74"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1.9 (1.3-2.9)</w:t>
            </w:r>
          </w:p>
        </w:tc>
        <w:tc>
          <w:tcPr>
            <w:tcW w:w="626" w:type="dxa"/>
            <w:tcBorders>
              <w:top w:val="nil"/>
              <w:left w:val="nil"/>
              <w:bottom w:val="nil"/>
              <w:right w:val="single" w:sz="4" w:space="0" w:color="auto"/>
            </w:tcBorders>
            <w:shd w:val="clear" w:color="auto" w:fill="auto"/>
            <w:noWrap/>
            <w:vAlign w:val="center"/>
            <w:hideMark/>
          </w:tcPr>
          <w:p w14:paraId="241DEF7B"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&lt;0.01</w:t>
            </w:r>
          </w:p>
        </w:tc>
      </w:tr>
      <w:tr w:rsidR="00307721" w:rsidRPr="00307721" w14:paraId="711C9409" w14:textId="77777777" w:rsidTr="00307721">
        <w:trPr>
          <w:trHeight w:val="300"/>
        </w:trPr>
        <w:tc>
          <w:tcPr>
            <w:tcW w:w="1560" w:type="dxa"/>
            <w:tcBorders>
              <w:top w:val="nil"/>
              <w:left w:val="nil"/>
              <w:bottom w:val="nil"/>
              <w:right w:val="nil"/>
            </w:tcBorders>
            <w:shd w:val="clear" w:color="auto" w:fill="auto"/>
            <w:noWrap/>
            <w:vAlign w:val="bottom"/>
            <w:hideMark/>
          </w:tcPr>
          <w:p w14:paraId="5CCBFBC3" w14:textId="77777777" w:rsidR="00307721" w:rsidRPr="00307721" w:rsidRDefault="00307721" w:rsidP="00307721">
            <w:pPr>
              <w:spacing w:after="0" w:line="240" w:lineRule="auto"/>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 xml:space="preserve">  1-14 years</w:t>
            </w:r>
          </w:p>
        </w:tc>
        <w:tc>
          <w:tcPr>
            <w:tcW w:w="1559" w:type="dxa"/>
            <w:tcBorders>
              <w:top w:val="nil"/>
              <w:left w:val="nil"/>
              <w:bottom w:val="nil"/>
              <w:right w:val="nil"/>
            </w:tcBorders>
            <w:shd w:val="clear" w:color="auto" w:fill="auto"/>
            <w:noWrap/>
            <w:vAlign w:val="center"/>
            <w:hideMark/>
          </w:tcPr>
          <w:p w14:paraId="18863D8F" w14:textId="03B8068D" w:rsidR="00307721" w:rsidRPr="00307721" w:rsidRDefault="00900286"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126/1,139 (11</w:t>
            </w:r>
            <w:r w:rsidR="00307721" w:rsidRPr="00307721">
              <w:rPr>
                <w:rFonts w:ascii="Arial" w:eastAsia="Times New Roman" w:hAnsi="Arial" w:cs="Arial"/>
                <w:color w:val="000000"/>
                <w:sz w:val="16"/>
                <w:szCs w:val="16"/>
                <w:lang w:val="en-GB" w:eastAsia="en-GB"/>
              </w:rPr>
              <w:t>)</w:t>
            </w:r>
          </w:p>
        </w:tc>
        <w:tc>
          <w:tcPr>
            <w:tcW w:w="1559" w:type="dxa"/>
            <w:tcBorders>
              <w:top w:val="nil"/>
              <w:left w:val="nil"/>
              <w:bottom w:val="nil"/>
              <w:right w:val="single" w:sz="4" w:space="0" w:color="auto"/>
            </w:tcBorders>
            <w:shd w:val="clear" w:color="auto" w:fill="auto"/>
            <w:noWrap/>
            <w:vAlign w:val="center"/>
            <w:hideMark/>
          </w:tcPr>
          <w:p w14:paraId="70F468FE" w14:textId="757BD143" w:rsidR="00307721" w:rsidRPr="00307721" w:rsidRDefault="00900286"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441/2,757 (16</w:t>
            </w:r>
            <w:r w:rsidR="00307721" w:rsidRPr="00307721">
              <w:rPr>
                <w:rFonts w:ascii="Arial" w:eastAsia="Times New Roman" w:hAnsi="Arial" w:cs="Arial"/>
                <w:color w:val="000000"/>
                <w:sz w:val="16"/>
                <w:szCs w:val="16"/>
                <w:lang w:val="en-GB" w:eastAsia="en-GB"/>
              </w:rPr>
              <w:t>)</w:t>
            </w:r>
          </w:p>
        </w:tc>
        <w:tc>
          <w:tcPr>
            <w:tcW w:w="1276" w:type="dxa"/>
            <w:tcBorders>
              <w:top w:val="nil"/>
              <w:left w:val="single" w:sz="4" w:space="0" w:color="auto"/>
              <w:bottom w:val="nil"/>
              <w:right w:val="nil"/>
            </w:tcBorders>
            <w:shd w:val="clear" w:color="auto" w:fill="auto"/>
            <w:noWrap/>
            <w:vAlign w:val="center"/>
            <w:hideMark/>
          </w:tcPr>
          <w:p w14:paraId="6B6CD481" w14:textId="77777777"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Reference</w:t>
            </w:r>
          </w:p>
        </w:tc>
        <w:tc>
          <w:tcPr>
            <w:tcW w:w="626" w:type="dxa"/>
            <w:tcBorders>
              <w:top w:val="nil"/>
              <w:left w:val="nil"/>
              <w:bottom w:val="nil"/>
              <w:right w:val="single" w:sz="4" w:space="0" w:color="auto"/>
            </w:tcBorders>
            <w:shd w:val="clear" w:color="auto" w:fill="auto"/>
            <w:noWrap/>
            <w:vAlign w:val="center"/>
            <w:hideMark/>
          </w:tcPr>
          <w:p w14:paraId="492138FF" w14:textId="17D2E064"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w:t>
            </w:r>
          </w:p>
        </w:tc>
        <w:tc>
          <w:tcPr>
            <w:tcW w:w="1358" w:type="dxa"/>
            <w:tcBorders>
              <w:top w:val="nil"/>
              <w:left w:val="single" w:sz="4" w:space="0" w:color="auto"/>
              <w:bottom w:val="nil"/>
              <w:right w:val="nil"/>
            </w:tcBorders>
            <w:shd w:val="clear" w:color="auto" w:fill="auto"/>
            <w:noWrap/>
            <w:vAlign w:val="center"/>
            <w:hideMark/>
          </w:tcPr>
          <w:p w14:paraId="1A946A47" w14:textId="77777777"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Reference</w:t>
            </w:r>
          </w:p>
        </w:tc>
        <w:tc>
          <w:tcPr>
            <w:tcW w:w="626" w:type="dxa"/>
            <w:tcBorders>
              <w:top w:val="nil"/>
              <w:left w:val="nil"/>
              <w:bottom w:val="nil"/>
              <w:right w:val="single" w:sz="4" w:space="0" w:color="auto"/>
            </w:tcBorders>
            <w:shd w:val="clear" w:color="auto" w:fill="auto"/>
            <w:noWrap/>
            <w:vAlign w:val="center"/>
            <w:hideMark/>
          </w:tcPr>
          <w:p w14:paraId="4ABDDEE3" w14:textId="772AD34F"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w:t>
            </w:r>
          </w:p>
        </w:tc>
      </w:tr>
      <w:tr w:rsidR="00307721" w:rsidRPr="00307721" w14:paraId="56548DEE" w14:textId="77777777" w:rsidTr="00307721">
        <w:trPr>
          <w:trHeight w:val="300"/>
        </w:trPr>
        <w:tc>
          <w:tcPr>
            <w:tcW w:w="1560" w:type="dxa"/>
            <w:tcBorders>
              <w:top w:val="nil"/>
              <w:left w:val="nil"/>
              <w:bottom w:val="nil"/>
              <w:right w:val="nil"/>
            </w:tcBorders>
            <w:shd w:val="clear" w:color="auto" w:fill="auto"/>
            <w:noWrap/>
            <w:vAlign w:val="bottom"/>
            <w:hideMark/>
          </w:tcPr>
          <w:p w14:paraId="70681AD9" w14:textId="77777777" w:rsidR="00307721" w:rsidRPr="00307721" w:rsidRDefault="00307721" w:rsidP="00307721">
            <w:pPr>
              <w:spacing w:after="0" w:line="240" w:lineRule="auto"/>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 xml:space="preserve">  15-64 years</w:t>
            </w:r>
          </w:p>
        </w:tc>
        <w:tc>
          <w:tcPr>
            <w:tcW w:w="1559" w:type="dxa"/>
            <w:tcBorders>
              <w:top w:val="nil"/>
              <w:left w:val="nil"/>
              <w:bottom w:val="nil"/>
              <w:right w:val="nil"/>
            </w:tcBorders>
            <w:shd w:val="clear" w:color="auto" w:fill="auto"/>
            <w:noWrap/>
            <w:vAlign w:val="center"/>
            <w:hideMark/>
          </w:tcPr>
          <w:p w14:paraId="64DAE127" w14:textId="1EC47F3D" w:rsidR="00307721" w:rsidRPr="00307721" w:rsidRDefault="00900286"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812/1,139 (71</w:t>
            </w:r>
            <w:r w:rsidR="00307721" w:rsidRPr="00307721">
              <w:rPr>
                <w:rFonts w:ascii="Arial" w:eastAsia="Times New Roman" w:hAnsi="Arial" w:cs="Arial"/>
                <w:color w:val="000000"/>
                <w:sz w:val="16"/>
                <w:szCs w:val="16"/>
                <w:lang w:val="en-GB" w:eastAsia="en-GB"/>
              </w:rPr>
              <w:t>)</w:t>
            </w:r>
          </w:p>
        </w:tc>
        <w:tc>
          <w:tcPr>
            <w:tcW w:w="1559" w:type="dxa"/>
            <w:tcBorders>
              <w:top w:val="nil"/>
              <w:left w:val="nil"/>
              <w:bottom w:val="nil"/>
              <w:right w:val="single" w:sz="4" w:space="0" w:color="auto"/>
            </w:tcBorders>
            <w:shd w:val="clear" w:color="auto" w:fill="auto"/>
            <w:noWrap/>
            <w:vAlign w:val="center"/>
            <w:hideMark/>
          </w:tcPr>
          <w:p w14:paraId="3BFC8BC8" w14:textId="34811EF6" w:rsidR="00307721" w:rsidRPr="00307721" w:rsidRDefault="00900286"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1,819/2,757 (66</w:t>
            </w:r>
            <w:r w:rsidR="00307721" w:rsidRPr="00307721">
              <w:rPr>
                <w:rFonts w:ascii="Arial" w:eastAsia="Times New Roman" w:hAnsi="Arial" w:cs="Arial"/>
                <w:color w:val="000000"/>
                <w:sz w:val="16"/>
                <w:szCs w:val="16"/>
                <w:lang w:val="en-GB" w:eastAsia="en-GB"/>
              </w:rPr>
              <w:t>)</w:t>
            </w:r>
          </w:p>
        </w:tc>
        <w:tc>
          <w:tcPr>
            <w:tcW w:w="1276" w:type="dxa"/>
            <w:tcBorders>
              <w:top w:val="nil"/>
              <w:left w:val="single" w:sz="4" w:space="0" w:color="auto"/>
              <w:bottom w:val="nil"/>
              <w:right w:val="nil"/>
            </w:tcBorders>
            <w:shd w:val="clear" w:color="auto" w:fill="auto"/>
            <w:noWrap/>
            <w:vAlign w:val="center"/>
            <w:hideMark/>
          </w:tcPr>
          <w:p w14:paraId="628B3FBC"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1.6 (1.3-1.9)</w:t>
            </w:r>
          </w:p>
        </w:tc>
        <w:tc>
          <w:tcPr>
            <w:tcW w:w="626" w:type="dxa"/>
            <w:tcBorders>
              <w:top w:val="nil"/>
              <w:left w:val="nil"/>
              <w:bottom w:val="nil"/>
              <w:right w:val="single" w:sz="4" w:space="0" w:color="auto"/>
            </w:tcBorders>
            <w:shd w:val="clear" w:color="auto" w:fill="auto"/>
            <w:noWrap/>
            <w:vAlign w:val="center"/>
            <w:hideMark/>
          </w:tcPr>
          <w:p w14:paraId="13190576"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&lt;0.01</w:t>
            </w:r>
          </w:p>
        </w:tc>
        <w:tc>
          <w:tcPr>
            <w:tcW w:w="1358" w:type="dxa"/>
            <w:tcBorders>
              <w:top w:val="nil"/>
              <w:left w:val="single" w:sz="4" w:space="0" w:color="auto"/>
              <w:bottom w:val="nil"/>
              <w:right w:val="nil"/>
            </w:tcBorders>
            <w:shd w:val="clear" w:color="auto" w:fill="auto"/>
            <w:noWrap/>
            <w:vAlign w:val="center"/>
            <w:hideMark/>
          </w:tcPr>
          <w:p w14:paraId="41F34480" w14:textId="77777777"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1.0 (0.7-1.4)</w:t>
            </w:r>
          </w:p>
        </w:tc>
        <w:tc>
          <w:tcPr>
            <w:tcW w:w="626" w:type="dxa"/>
            <w:tcBorders>
              <w:top w:val="nil"/>
              <w:left w:val="nil"/>
              <w:bottom w:val="nil"/>
              <w:right w:val="single" w:sz="4" w:space="0" w:color="auto"/>
            </w:tcBorders>
            <w:shd w:val="clear" w:color="auto" w:fill="auto"/>
            <w:noWrap/>
            <w:vAlign w:val="center"/>
            <w:hideMark/>
          </w:tcPr>
          <w:p w14:paraId="2C97CB07" w14:textId="77777777"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0.95</w:t>
            </w:r>
          </w:p>
        </w:tc>
      </w:tr>
      <w:tr w:rsidR="00307721" w:rsidRPr="00307721" w14:paraId="384E8056" w14:textId="77777777" w:rsidTr="00307721">
        <w:trPr>
          <w:trHeight w:val="300"/>
        </w:trPr>
        <w:tc>
          <w:tcPr>
            <w:tcW w:w="1560" w:type="dxa"/>
            <w:tcBorders>
              <w:top w:val="nil"/>
              <w:left w:val="nil"/>
              <w:bottom w:val="nil"/>
              <w:right w:val="nil"/>
            </w:tcBorders>
            <w:shd w:val="clear" w:color="auto" w:fill="auto"/>
            <w:noWrap/>
            <w:vAlign w:val="bottom"/>
            <w:hideMark/>
          </w:tcPr>
          <w:p w14:paraId="04D5BAC2" w14:textId="77777777" w:rsidR="00307721" w:rsidRPr="00307721" w:rsidRDefault="00307721" w:rsidP="00307721">
            <w:pPr>
              <w:spacing w:after="0" w:line="240" w:lineRule="auto"/>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 xml:space="preserve">  &gt;64 years</w:t>
            </w:r>
          </w:p>
        </w:tc>
        <w:tc>
          <w:tcPr>
            <w:tcW w:w="1559" w:type="dxa"/>
            <w:tcBorders>
              <w:top w:val="nil"/>
              <w:left w:val="nil"/>
              <w:bottom w:val="nil"/>
              <w:right w:val="nil"/>
            </w:tcBorders>
            <w:shd w:val="clear" w:color="auto" w:fill="auto"/>
            <w:noWrap/>
            <w:vAlign w:val="center"/>
            <w:hideMark/>
          </w:tcPr>
          <w:p w14:paraId="166A490B" w14:textId="0B9055A6" w:rsidR="00307721" w:rsidRPr="00307721" w:rsidRDefault="00307721" w:rsidP="00900286">
            <w:pPr>
              <w:spacing w:after="0" w:line="240" w:lineRule="auto"/>
              <w:jc w:val="center"/>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19/1,139 (</w:t>
            </w:r>
            <w:r w:rsidR="00900286">
              <w:rPr>
                <w:rFonts w:ascii="Arial" w:eastAsia="Times New Roman" w:hAnsi="Arial" w:cs="Arial"/>
                <w:color w:val="000000"/>
                <w:sz w:val="16"/>
                <w:szCs w:val="16"/>
                <w:lang w:val="en-GB" w:eastAsia="en-GB"/>
              </w:rPr>
              <w:t>2</w:t>
            </w:r>
            <w:r w:rsidRPr="00307721">
              <w:rPr>
                <w:rFonts w:ascii="Arial" w:eastAsia="Times New Roman" w:hAnsi="Arial" w:cs="Arial"/>
                <w:color w:val="000000"/>
                <w:sz w:val="16"/>
                <w:szCs w:val="16"/>
                <w:lang w:val="en-GB" w:eastAsia="en-GB"/>
              </w:rPr>
              <w:t>)</w:t>
            </w:r>
          </w:p>
        </w:tc>
        <w:tc>
          <w:tcPr>
            <w:tcW w:w="1559" w:type="dxa"/>
            <w:tcBorders>
              <w:top w:val="nil"/>
              <w:left w:val="nil"/>
              <w:bottom w:val="nil"/>
              <w:right w:val="single" w:sz="4" w:space="0" w:color="auto"/>
            </w:tcBorders>
            <w:shd w:val="clear" w:color="auto" w:fill="auto"/>
            <w:noWrap/>
            <w:vAlign w:val="center"/>
            <w:hideMark/>
          </w:tcPr>
          <w:p w14:paraId="0680F70D" w14:textId="6D75EDF2"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1</w:t>
            </w:r>
            <w:r w:rsidR="00900286">
              <w:rPr>
                <w:rFonts w:ascii="Arial" w:eastAsia="Times New Roman" w:hAnsi="Arial" w:cs="Arial"/>
                <w:color w:val="000000"/>
                <w:sz w:val="16"/>
                <w:szCs w:val="16"/>
                <w:lang w:val="en-GB" w:eastAsia="en-GB"/>
              </w:rPr>
              <w:t>98/2,757 (7</w:t>
            </w:r>
            <w:r w:rsidRPr="00307721">
              <w:rPr>
                <w:rFonts w:ascii="Arial" w:eastAsia="Times New Roman" w:hAnsi="Arial" w:cs="Arial"/>
                <w:color w:val="000000"/>
                <w:sz w:val="16"/>
                <w:szCs w:val="16"/>
                <w:lang w:val="en-GB" w:eastAsia="en-GB"/>
              </w:rPr>
              <w:t>)</w:t>
            </w:r>
          </w:p>
        </w:tc>
        <w:tc>
          <w:tcPr>
            <w:tcW w:w="1276" w:type="dxa"/>
            <w:tcBorders>
              <w:top w:val="nil"/>
              <w:left w:val="single" w:sz="4" w:space="0" w:color="auto"/>
              <w:bottom w:val="nil"/>
              <w:right w:val="nil"/>
            </w:tcBorders>
            <w:shd w:val="clear" w:color="auto" w:fill="auto"/>
            <w:noWrap/>
            <w:vAlign w:val="center"/>
            <w:hideMark/>
          </w:tcPr>
          <w:p w14:paraId="1C926F36"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0.3 (0.2-0.6)</w:t>
            </w:r>
          </w:p>
        </w:tc>
        <w:tc>
          <w:tcPr>
            <w:tcW w:w="626" w:type="dxa"/>
            <w:tcBorders>
              <w:top w:val="nil"/>
              <w:left w:val="nil"/>
              <w:bottom w:val="nil"/>
              <w:right w:val="single" w:sz="4" w:space="0" w:color="auto"/>
            </w:tcBorders>
            <w:shd w:val="clear" w:color="auto" w:fill="auto"/>
            <w:noWrap/>
            <w:vAlign w:val="center"/>
            <w:hideMark/>
          </w:tcPr>
          <w:p w14:paraId="38C13B04"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&lt;0.01</w:t>
            </w:r>
          </w:p>
        </w:tc>
        <w:tc>
          <w:tcPr>
            <w:tcW w:w="1358" w:type="dxa"/>
            <w:tcBorders>
              <w:top w:val="nil"/>
              <w:left w:val="single" w:sz="4" w:space="0" w:color="auto"/>
              <w:bottom w:val="nil"/>
              <w:right w:val="nil"/>
            </w:tcBorders>
            <w:shd w:val="clear" w:color="auto" w:fill="auto"/>
            <w:noWrap/>
            <w:vAlign w:val="center"/>
            <w:hideMark/>
          </w:tcPr>
          <w:p w14:paraId="6801DE78"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0.2 (0.1-0.4)</w:t>
            </w:r>
          </w:p>
        </w:tc>
        <w:tc>
          <w:tcPr>
            <w:tcW w:w="626" w:type="dxa"/>
            <w:tcBorders>
              <w:top w:val="nil"/>
              <w:left w:val="nil"/>
              <w:bottom w:val="nil"/>
              <w:right w:val="single" w:sz="4" w:space="0" w:color="auto"/>
            </w:tcBorders>
            <w:shd w:val="clear" w:color="auto" w:fill="auto"/>
            <w:noWrap/>
            <w:vAlign w:val="center"/>
            <w:hideMark/>
          </w:tcPr>
          <w:p w14:paraId="2AC08F84"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&lt;0.01</w:t>
            </w:r>
          </w:p>
        </w:tc>
      </w:tr>
      <w:tr w:rsidR="00307721" w:rsidRPr="00307721" w14:paraId="0370B8DC" w14:textId="77777777" w:rsidTr="00307721">
        <w:trPr>
          <w:trHeight w:val="300"/>
        </w:trPr>
        <w:tc>
          <w:tcPr>
            <w:tcW w:w="3119" w:type="dxa"/>
            <w:gridSpan w:val="2"/>
            <w:tcBorders>
              <w:top w:val="nil"/>
              <w:left w:val="nil"/>
              <w:bottom w:val="nil"/>
              <w:right w:val="nil"/>
            </w:tcBorders>
            <w:shd w:val="clear" w:color="auto" w:fill="auto"/>
            <w:noWrap/>
            <w:vAlign w:val="center"/>
            <w:hideMark/>
          </w:tcPr>
          <w:p w14:paraId="70BF531B" w14:textId="129D44FF" w:rsidR="00307721" w:rsidRPr="00307721" w:rsidRDefault="00307721" w:rsidP="00307721">
            <w:pPr>
              <w:spacing w:after="0" w:line="240" w:lineRule="auto"/>
              <w:rPr>
                <w:rFonts w:ascii="Arial" w:eastAsia="Times New Roman" w:hAnsi="Arial" w:cs="Arial"/>
                <w:color w:val="000000"/>
                <w:sz w:val="16"/>
                <w:szCs w:val="16"/>
                <w:lang w:val="en-GB" w:eastAsia="en-GB"/>
              </w:rPr>
            </w:pPr>
            <w:r w:rsidRPr="00307721">
              <w:rPr>
                <w:rFonts w:ascii="Arial" w:eastAsia="Times New Roman" w:hAnsi="Arial" w:cs="Arial"/>
                <w:b/>
                <w:bCs/>
                <w:color w:val="000000"/>
                <w:sz w:val="16"/>
                <w:szCs w:val="16"/>
                <w:lang w:val="en-GB" w:eastAsia="en-GB"/>
              </w:rPr>
              <w:t>Province (N=3,923)</w:t>
            </w:r>
          </w:p>
        </w:tc>
        <w:tc>
          <w:tcPr>
            <w:tcW w:w="1559" w:type="dxa"/>
            <w:tcBorders>
              <w:top w:val="nil"/>
              <w:left w:val="nil"/>
              <w:bottom w:val="nil"/>
              <w:right w:val="single" w:sz="4" w:space="0" w:color="auto"/>
            </w:tcBorders>
            <w:shd w:val="clear" w:color="auto" w:fill="auto"/>
            <w:noWrap/>
            <w:vAlign w:val="center"/>
            <w:hideMark/>
          </w:tcPr>
          <w:p w14:paraId="76E43435" w14:textId="66E87570"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p>
        </w:tc>
        <w:tc>
          <w:tcPr>
            <w:tcW w:w="1276" w:type="dxa"/>
            <w:tcBorders>
              <w:top w:val="nil"/>
              <w:left w:val="single" w:sz="4" w:space="0" w:color="auto"/>
              <w:bottom w:val="nil"/>
              <w:right w:val="nil"/>
            </w:tcBorders>
            <w:shd w:val="clear" w:color="auto" w:fill="auto"/>
            <w:noWrap/>
            <w:vAlign w:val="center"/>
            <w:hideMark/>
          </w:tcPr>
          <w:p w14:paraId="2BB3C9C5" w14:textId="7EEE4936"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p>
        </w:tc>
        <w:tc>
          <w:tcPr>
            <w:tcW w:w="626" w:type="dxa"/>
            <w:tcBorders>
              <w:top w:val="nil"/>
              <w:left w:val="nil"/>
              <w:bottom w:val="nil"/>
              <w:right w:val="single" w:sz="4" w:space="0" w:color="auto"/>
            </w:tcBorders>
            <w:shd w:val="clear" w:color="auto" w:fill="auto"/>
            <w:noWrap/>
            <w:vAlign w:val="center"/>
            <w:hideMark/>
          </w:tcPr>
          <w:p w14:paraId="2B504F6D" w14:textId="167BA2AB"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p>
        </w:tc>
        <w:tc>
          <w:tcPr>
            <w:tcW w:w="1358" w:type="dxa"/>
            <w:tcBorders>
              <w:top w:val="nil"/>
              <w:left w:val="single" w:sz="4" w:space="0" w:color="auto"/>
              <w:bottom w:val="nil"/>
              <w:right w:val="nil"/>
            </w:tcBorders>
            <w:shd w:val="clear" w:color="auto" w:fill="auto"/>
            <w:noWrap/>
            <w:vAlign w:val="center"/>
            <w:hideMark/>
          </w:tcPr>
          <w:p w14:paraId="4303DFAA" w14:textId="201C2BF3"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p>
        </w:tc>
        <w:tc>
          <w:tcPr>
            <w:tcW w:w="626" w:type="dxa"/>
            <w:tcBorders>
              <w:top w:val="nil"/>
              <w:left w:val="nil"/>
              <w:bottom w:val="nil"/>
              <w:right w:val="single" w:sz="4" w:space="0" w:color="auto"/>
            </w:tcBorders>
            <w:shd w:val="clear" w:color="auto" w:fill="auto"/>
            <w:noWrap/>
            <w:vAlign w:val="center"/>
            <w:hideMark/>
          </w:tcPr>
          <w:p w14:paraId="06A85926" w14:textId="73CEDB19"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p>
        </w:tc>
      </w:tr>
      <w:tr w:rsidR="00307721" w:rsidRPr="00307721" w14:paraId="67E074EA" w14:textId="77777777" w:rsidTr="00307721">
        <w:trPr>
          <w:trHeight w:val="300"/>
        </w:trPr>
        <w:tc>
          <w:tcPr>
            <w:tcW w:w="1560" w:type="dxa"/>
            <w:tcBorders>
              <w:top w:val="nil"/>
              <w:left w:val="nil"/>
              <w:bottom w:val="nil"/>
              <w:right w:val="nil"/>
            </w:tcBorders>
            <w:shd w:val="clear" w:color="auto" w:fill="auto"/>
            <w:noWrap/>
            <w:vAlign w:val="bottom"/>
            <w:hideMark/>
          </w:tcPr>
          <w:p w14:paraId="1670904A" w14:textId="77777777" w:rsidR="00307721" w:rsidRPr="00307721" w:rsidRDefault="00307721" w:rsidP="00307721">
            <w:pPr>
              <w:spacing w:after="0" w:line="240" w:lineRule="auto"/>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 xml:space="preserve">  Eastern Cape</w:t>
            </w:r>
          </w:p>
        </w:tc>
        <w:tc>
          <w:tcPr>
            <w:tcW w:w="1559" w:type="dxa"/>
            <w:tcBorders>
              <w:top w:val="nil"/>
              <w:left w:val="nil"/>
              <w:bottom w:val="nil"/>
              <w:right w:val="nil"/>
            </w:tcBorders>
            <w:shd w:val="clear" w:color="auto" w:fill="auto"/>
            <w:noWrap/>
            <w:vAlign w:val="center"/>
            <w:hideMark/>
          </w:tcPr>
          <w:p w14:paraId="775C1B7B" w14:textId="37C96F33" w:rsidR="00307721" w:rsidRPr="00307721" w:rsidRDefault="00900286"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128/1,148 (11</w:t>
            </w:r>
            <w:r w:rsidR="00307721" w:rsidRPr="00307721">
              <w:rPr>
                <w:rFonts w:ascii="Arial" w:eastAsia="Times New Roman" w:hAnsi="Arial" w:cs="Arial"/>
                <w:color w:val="000000"/>
                <w:sz w:val="16"/>
                <w:szCs w:val="16"/>
                <w:lang w:val="en-GB" w:eastAsia="en-GB"/>
              </w:rPr>
              <w:t>)</w:t>
            </w:r>
          </w:p>
        </w:tc>
        <w:tc>
          <w:tcPr>
            <w:tcW w:w="1559" w:type="dxa"/>
            <w:tcBorders>
              <w:top w:val="nil"/>
              <w:left w:val="nil"/>
              <w:bottom w:val="nil"/>
              <w:right w:val="single" w:sz="4" w:space="0" w:color="auto"/>
            </w:tcBorders>
            <w:shd w:val="clear" w:color="auto" w:fill="auto"/>
            <w:noWrap/>
            <w:vAlign w:val="center"/>
            <w:hideMark/>
          </w:tcPr>
          <w:p w14:paraId="23972B28" w14:textId="77777777"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107/2,775 (3.9)</w:t>
            </w:r>
          </w:p>
        </w:tc>
        <w:tc>
          <w:tcPr>
            <w:tcW w:w="1276" w:type="dxa"/>
            <w:tcBorders>
              <w:top w:val="nil"/>
              <w:left w:val="single" w:sz="4" w:space="0" w:color="auto"/>
              <w:bottom w:val="nil"/>
              <w:right w:val="nil"/>
            </w:tcBorders>
            <w:shd w:val="clear" w:color="auto" w:fill="auto"/>
            <w:noWrap/>
            <w:vAlign w:val="center"/>
            <w:hideMark/>
          </w:tcPr>
          <w:p w14:paraId="795F5F8A"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6.5 (4.7-9.2)</w:t>
            </w:r>
          </w:p>
        </w:tc>
        <w:tc>
          <w:tcPr>
            <w:tcW w:w="626" w:type="dxa"/>
            <w:tcBorders>
              <w:top w:val="nil"/>
              <w:left w:val="nil"/>
              <w:bottom w:val="nil"/>
              <w:right w:val="single" w:sz="4" w:space="0" w:color="auto"/>
            </w:tcBorders>
            <w:shd w:val="clear" w:color="auto" w:fill="auto"/>
            <w:noWrap/>
            <w:vAlign w:val="center"/>
            <w:hideMark/>
          </w:tcPr>
          <w:p w14:paraId="5AE1324F"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&lt;0.01</w:t>
            </w:r>
          </w:p>
        </w:tc>
        <w:tc>
          <w:tcPr>
            <w:tcW w:w="1358" w:type="dxa"/>
            <w:tcBorders>
              <w:top w:val="nil"/>
              <w:left w:val="single" w:sz="4" w:space="0" w:color="auto"/>
              <w:bottom w:val="nil"/>
              <w:right w:val="nil"/>
            </w:tcBorders>
            <w:shd w:val="clear" w:color="auto" w:fill="auto"/>
            <w:noWrap/>
            <w:vAlign w:val="center"/>
            <w:hideMark/>
          </w:tcPr>
          <w:p w14:paraId="0C53E03C"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7.7 (4.7-12.5)</w:t>
            </w:r>
          </w:p>
        </w:tc>
        <w:tc>
          <w:tcPr>
            <w:tcW w:w="626" w:type="dxa"/>
            <w:tcBorders>
              <w:top w:val="nil"/>
              <w:left w:val="nil"/>
              <w:bottom w:val="nil"/>
              <w:right w:val="single" w:sz="4" w:space="0" w:color="auto"/>
            </w:tcBorders>
            <w:shd w:val="clear" w:color="auto" w:fill="auto"/>
            <w:noWrap/>
            <w:vAlign w:val="center"/>
            <w:hideMark/>
          </w:tcPr>
          <w:p w14:paraId="08CE27FB"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&lt;0.01</w:t>
            </w:r>
          </w:p>
        </w:tc>
      </w:tr>
      <w:tr w:rsidR="00307721" w:rsidRPr="00307721" w14:paraId="1F3556D9" w14:textId="77777777" w:rsidTr="00307721">
        <w:trPr>
          <w:trHeight w:val="300"/>
        </w:trPr>
        <w:tc>
          <w:tcPr>
            <w:tcW w:w="1560" w:type="dxa"/>
            <w:tcBorders>
              <w:top w:val="nil"/>
              <w:left w:val="nil"/>
              <w:bottom w:val="nil"/>
              <w:right w:val="nil"/>
            </w:tcBorders>
            <w:shd w:val="clear" w:color="auto" w:fill="auto"/>
            <w:noWrap/>
            <w:vAlign w:val="bottom"/>
            <w:hideMark/>
          </w:tcPr>
          <w:p w14:paraId="28F21FB5" w14:textId="77777777" w:rsidR="00307721" w:rsidRPr="00307721" w:rsidRDefault="00307721" w:rsidP="00307721">
            <w:pPr>
              <w:spacing w:after="0" w:line="240" w:lineRule="auto"/>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 xml:space="preserve">  Free State</w:t>
            </w:r>
          </w:p>
        </w:tc>
        <w:tc>
          <w:tcPr>
            <w:tcW w:w="1559" w:type="dxa"/>
            <w:tcBorders>
              <w:top w:val="nil"/>
              <w:left w:val="nil"/>
              <w:bottom w:val="nil"/>
              <w:right w:val="nil"/>
            </w:tcBorders>
            <w:shd w:val="clear" w:color="auto" w:fill="auto"/>
            <w:noWrap/>
            <w:vAlign w:val="center"/>
            <w:hideMark/>
          </w:tcPr>
          <w:p w14:paraId="6BB72F67" w14:textId="28A3CA7B" w:rsidR="00307721" w:rsidRPr="00307721" w:rsidRDefault="00307721" w:rsidP="00900286">
            <w:pPr>
              <w:spacing w:after="0" w:line="240" w:lineRule="auto"/>
              <w:jc w:val="center"/>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53/1,148 (</w:t>
            </w:r>
            <w:r w:rsidR="00900286">
              <w:rPr>
                <w:rFonts w:ascii="Arial" w:eastAsia="Times New Roman" w:hAnsi="Arial" w:cs="Arial"/>
                <w:color w:val="000000"/>
                <w:sz w:val="16"/>
                <w:szCs w:val="16"/>
                <w:lang w:val="en-GB" w:eastAsia="en-GB"/>
              </w:rPr>
              <w:t>5</w:t>
            </w:r>
            <w:r w:rsidRPr="00307721">
              <w:rPr>
                <w:rFonts w:ascii="Arial" w:eastAsia="Times New Roman" w:hAnsi="Arial" w:cs="Arial"/>
                <w:color w:val="000000"/>
                <w:sz w:val="16"/>
                <w:szCs w:val="16"/>
                <w:lang w:val="en-GB" w:eastAsia="en-GB"/>
              </w:rPr>
              <w:t>)</w:t>
            </w:r>
          </w:p>
        </w:tc>
        <w:tc>
          <w:tcPr>
            <w:tcW w:w="1559" w:type="dxa"/>
            <w:tcBorders>
              <w:top w:val="nil"/>
              <w:left w:val="nil"/>
              <w:bottom w:val="nil"/>
              <w:right w:val="single" w:sz="4" w:space="0" w:color="auto"/>
            </w:tcBorders>
            <w:shd w:val="clear" w:color="auto" w:fill="auto"/>
            <w:noWrap/>
            <w:vAlign w:val="center"/>
            <w:hideMark/>
          </w:tcPr>
          <w:p w14:paraId="6DA27BA6" w14:textId="77777777"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115/2,775 (4.1)</w:t>
            </w:r>
          </w:p>
        </w:tc>
        <w:tc>
          <w:tcPr>
            <w:tcW w:w="1276" w:type="dxa"/>
            <w:tcBorders>
              <w:top w:val="nil"/>
              <w:left w:val="single" w:sz="4" w:space="0" w:color="auto"/>
              <w:bottom w:val="nil"/>
              <w:right w:val="nil"/>
            </w:tcBorders>
            <w:shd w:val="clear" w:color="auto" w:fill="auto"/>
            <w:noWrap/>
            <w:vAlign w:val="center"/>
            <w:hideMark/>
          </w:tcPr>
          <w:p w14:paraId="0D6E8B9D"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2.5 (1.7-3.7)</w:t>
            </w:r>
          </w:p>
        </w:tc>
        <w:tc>
          <w:tcPr>
            <w:tcW w:w="626" w:type="dxa"/>
            <w:tcBorders>
              <w:top w:val="nil"/>
              <w:left w:val="nil"/>
              <w:bottom w:val="nil"/>
              <w:right w:val="single" w:sz="4" w:space="0" w:color="auto"/>
            </w:tcBorders>
            <w:shd w:val="clear" w:color="auto" w:fill="auto"/>
            <w:noWrap/>
            <w:vAlign w:val="center"/>
            <w:hideMark/>
          </w:tcPr>
          <w:p w14:paraId="64EEC6B2"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&lt;0.01</w:t>
            </w:r>
          </w:p>
        </w:tc>
        <w:tc>
          <w:tcPr>
            <w:tcW w:w="1358" w:type="dxa"/>
            <w:tcBorders>
              <w:top w:val="nil"/>
              <w:left w:val="single" w:sz="4" w:space="0" w:color="auto"/>
              <w:bottom w:val="nil"/>
              <w:right w:val="nil"/>
            </w:tcBorders>
            <w:shd w:val="clear" w:color="auto" w:fill="auto"/>
            <w:noWrap/>
            <w:vAlign w:val="center"/>
            <w:hideMark/>
          </w:tcPr>
          <w:p w14:paraId="37499180"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3.0 (1.8-5.0)</w:t>
            </w:r>
          </w:p>
        </w:tc>
        <w:tc>
          <w:tcPr>
            <w:tcW w:w="626" w:type="dxa"/>
            <w:tcBorders>
              <w:top w:val="nil"/>
              <w:left w:val="nil"/>
              <w:bottom w:val="nil"/>
              <w:right w:val="single" w:sz="4" w:space="0" w:color="auto"/>
            </w:tcBorders>
            <w:shd w:val="clear" w:color="auto" w:fill="auto"/>
            <w:noWrap/>
            <w:vAlign w:val="center"/>
            <w:hideMark/>
          </w:tcPr>
          <w:p w14:paraId="1C5FB87D"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&lt;0.01</w:t>
            </w:r>
          </w:p>
        </w:tc>
      </w:tr>
      <w:tr w:rsidR="00307721" w:rsidRPr="00307721" w14:paraId="6997D3DD" w14:textId="77777777" w:rsidTr="00307721">
        <w:trPr>
          <w:trHeight w:val="300"/>
        </w:trPr>
        <w:tc>
          <w:tcPr>
            <w:tcW w:w="1560" w:type="dxa"/>
            <w:tcBorders>
              <w:top w:val="nil"/>
              <w:left w:val="nil"/>
              <w:bottom w:val="nil"/>
              <w:right w:val="nil"/>
            </w:tcBorders>
            <w:shd w:val="clear" w:color="auto" w:fill="auto"/>
            <w:noWrap/>
            <w:vAlign w:val="bottom"/>
            <w:hideMark/>
          </w:tcPr>
          <w:p w14:paraId="5C518897" w14:textId="77777777" w:rsidR="00307721" w:rsidRPr="00307721" w:rsidRDefault="00307721" w:rsidP="00307721">
            <w:pPr>
              <w:spacing w:after="0" w:line="240" w:lineRule="auto"/>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 xml:space="preserve">  Gauteng</w:t>
            </w:r>
          </w:p>
        </w:tc>
        <w:tc>
          <w:tcPr>
            <w:tcW w:w="1559" w:type="dxa"/>
            <w:tcBorders>
              <w:top w:val="nil"/>
              <w:left w:val="nil"/>
              <w:bottom w:val="nil"/>
              <w:right w:val="nil"/>
            </w:tcBorders>
            <w:shd w:val="clear" w:color="auto" w:fill="auto"/>
            <w:noWrap/>
            <w:vAlign w:val="center"/>
            <w:hideMark/>
          </w:tcPr>
          <w:p w14:paraId="3EF1E6D1" w14:textId="1636A828" w:rsidR="00307721" w:rsidRPr="00307721" w:rsidRDefault="00900286"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432/1,148 (38</w:t>
            </w:r>
            <w:r w:rsidR="00307721" w:rsidRPr="00307721">
              <w:rPr>
                <w:rFonts w:ascii="Arial" w:eastAsia="Times New Roman" w:hAnsi="Arial" w:cs="Arial"/>
                <w:color w:val="000000"/>
                <w:sz w:val="16"/>
                <w:szCs w:val="16"/>
                <w:lang w:val="en-GB" w:eastAsia="en-GB"/>
              </w:rPr>
              <w:t>)</w:t>
            </w:r>
          </w:p>
        </w:tc>
        <w:tc>
          <w:tcPr>
            <w:tcW w:w="1559" w:type="dxa"/>
            <w:tcBorders>
              <w:top w:val="nil"/>
              <w:left w:val="nil"/>
              <w:bottom w:val="nil"/>
              <w:right w:val="single" w:sz="4" w:space="0" w:color="auto"/>
            </w:tcBorders>
            <w:shd w:val="clear" w:color="auto" w:fill="auto"/>
            <w:noWrap/>
            <w:vAlign w:val="center"/>
            <w:hideMark/>
          </w:tcPr>
          <w:p w14:paraId="6130B139" w14:textId="77777777"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1,280/2,775 (46.1)</w:t>
            </w:r>
          </w:p>
        </w:tc>
        <w:tc>
          <w:tcPr>
            <w:tcW w:w="1276" w:type="dxa"/>
            <w:tcBorders>
              <w:top w:val="nil"/>
              <w:left w:val="single" w:sz="4" w:space="0" w:color="auto"/>
              <w:bottom w:val="nil"/>
              <w:right w:val="nil"/>
            </w:tcBorders>
            <w:shd w:val="clear" w:color="auto" w:fill="auto"/>
            <w:noWrap/>
            <w:vAlign w:val="center"/>
            <w:hideMark/>
          </w:tcPr>
          <w:p w14:paraId="240BB49F"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1.8 (1.4-2.4)</w:t>
            </w:r>
          </w:p>
        </w:tc>
        <w:tc>
          <w:tcPr>
            <w:tcW w:w="626" w:type="dxa"/>
            <w:tcBorders>
              <w:top w:val="nil"/>
              <w:left w:val="nil"/>
              <w:bottom w:val="nil"/>
              <w:right w:val="single" w:sz="4" w:space="0" w:color="auto"/>
            </w:tcBorders>
            <w:shd w:val="clear" w:color="auto" w:fill="auto"/>
            <w:noWrap/>
            <w:vAlign w:val="center"/>
            <w:hideMark/>
          </w:tcPr>
          <w:p w14:paraId="701CF43A"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&lt;0.01</w:t>
            </w:r>
          </w:p>
        </w:tc>
        <w:tc>
          <w:tcPr>
            <w:tcW w:w="1358" w:type="dxa"/>
            <w:tcBorders>
              <w:top w:val="nil"/>
              <w:left w:val="single" w:sz="4" w:space="0" w:color="auto"/>
              <w:bottom w:val="nil"/>
              <w:right w:val="nil"/>
            </w:tcBorders>
            <w:shd w:val="clear" w:color="auto" w:fill="auto"/>
            <w:noWrap/>
            <w:vAlign w:val="center"/>
            <w:hideMark/>
          </w:tcPr>
          <w:p w14:paraId="21D24551"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1.4 (1.0-2.0)</w:t>
            </w:r>
          </w:p>
        </w:tc>
        <w:tc>
          <w:tcPr>
            <w:tcW w:w="626" w:type="dxa"/>
            <w:tcBorders>
              <w:top w:val="nil"/>
              <w:left w:val="nil"/>
              <w:bottom w:val="nil"/>
              <w:right w:val="single" w:sz="4" w:space="0" w:color="auto"/>
            </w:tcBorders>
            <w:shd w:val="clear" w:color="auto" w:fill="auto"/>
            <w:noWrap/>
            <w:vAlign w:val="center"/>
            <w:hideMark/>
          </w:tcPr>
          <w:p w14:paraId="1AB9EBCD"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0.03</w:t>
            </w:r>
          </w:p>
        </w:tc>
      </w:tr>
      <w:tr w:rsidR="00307721" w:rsidRPr="00307721" w14:paraId="2E88F8A6" w14:textId="77777777" w:rsidTr="00307721">
        <w:trPr>
          <w:trHeight w:val="300"/>
        </w:trPr>
        <w:tc>
          <w:tcPr>
            <w:tcW w:w="1560" w:type="dxa"/>
            <w:tcBorders>
              <w:top w:val="nil"/>
              <w:left w:val="nil"/>
              <w:bottom w:val="nil"/>
              <w:right w:val="nil"/>
            </w:tcBorders>
            <w:shd w:val="clear" w:color="auto" w:fill="auto"/>
            <w:noWrap/>
            <w:vAlign w:val="bottom"/>
            <w:hideMark/>
          </w:tcPr>
          <w:p w14:paraId="00A7AE90" w14:textId="77777777" w:rsidR="00307721" w:rsidRPr="00307721" w:rsidRDefault="00307721" w:rsidP="00307721">
            <w:pPr>
              <w:spacing w:after="0" w:line="240" w:lineRule="auto"/>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 xml:space="preserve">  KwaZulu-Natal</w:t>
            </w:r>
          </w:p>
        </w:tc>
        <w:tc>
          <w:tcPr>
            <w:tcW w:w="1559" w:type="dxa"/>
            <w:tcBorders>
              <w:top w:val="nil"/>
              <w:left w:val="nil"/>
              <w:bottom w:val="nil"/>
              <w:right w:val="nil"/>
            </w:tcBorders>
            <w:shd w:val="clear" w:color="auto" w:fill="auto"/>
            <w:noWrap/>
            <w:vAlign w:val="center"/>
            <w:hideMark/>
          </w:tcPr>
          <w:p w14:paraId="3BE085A8" w14:textId="3CD6F985" w:rsidR="00307721" w:rsidRPr="00307721" w:rsidRDefault="00900286"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164/1,148 (14</w:t>
            </w:r>
            <w:r w:rsidR="00307721" w:rsidRPr="00307721">
              <w:rPr>
                <w:rFonts w:ascii="Arial" w:eastAsia="Times New Roman" w:hAnsi="Arial" w:cs="Arial"/>
                <w:color w:val="000000"/>
                <w:sz w:val="16"/>
                <w:szCs w:val="16"/>
                <w:lang w:val="en-GB" w:eastAsia="en-GB"/>
              </w:rPr>
              <w:t>)</w:t>
            </w:r>
          </w:p>
        </w:tc>
        <w:tc>
          <w:tcPr>
            <w:tcW w:w="1559" w:type="dxa"/>
            <w:tcBorders>
              <w:top w:val="nil"/>
              <w:left w:val="nil"/>
              <w:bottom w:val="nil"/>
              <w:right w:val="single" w:sz="4" w:space="0" w:color="auto"/>
            </w:tcBorders>
            <w:shd w:val="clear" w:color="auto" w:fill="auto"/>
            <w:noWrap/>
            <w:vAlign w:val="center"/>
            <w:hideMark/>
          </w:tcPr>
          <w:p w14:paraId="2F74527A" w14:textId="77777777"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413/2,775 (14.9)</w:t>
            </w:r>
          </w:p>
        </w:tc>
        <w:tc>
          <w:tcPr>
            <w:tcW w:w="1276" w:type="dxa"/>
            <w:tcBorders>
              <w:top w:val="nil"/>
              <w:left w:val="single" w:sz="4" w:space="0" w:color="auto"/>
              <w:bottom w:val="nil"/>
              <w:right w:val="nil"/>
            </w:tcBorders>
            <w:shd w:val="clear" w:color="auto" w:fill="auto"/>
            <w:noWrap/>
            <w:vAlign w:val="center"/>
            <w:hideMark/>
          </w:tcPr>
          <w:p w14:paraId="1C8CEC76"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2.2 (1.6-2.9)</w:t>
            </w:r>
          </w:p>
        </w:tc>
        <w:tc>
          <w:tcPr>
            <w:tcW w:w="626" w:type="dxa"/>
            <w:tcBorders>
              <w:top w:val="nil"/>
              <w:left w:val="nil"/>
              <w:bottom w:val="nil"/>
              <w:right w:val="single" w:sz="4" w:space="0" w:color="auto"/>
            </w:tcBorders>
            <w:shd w:val="clear" w:color="auto" w:fill="auto"/>
            <w:noWrap/>
            <w:vAlign w:val="center"/>
            <w:hideMark/>
          </w:tcPr>
          <w:p w14:paraId="6558320C"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&lt;0.01</w:t>
            </w:r>
          </w:p>
        </w:tc>
        <w:tc>
          <w:tcPr>
            <w:tcW w:w="1358" w:type="dxa"/>
            <w:tcBorders>
              <w:top w:val="nil"/>
              <w:left w:val="single" w:sz="4" w:space="0" w:color="auto"/>
              <w:bottom w:val="nil"/>
              <w:right w:val="nil"/>
            </w:tcBorders>
            <w:shd w:val="clear" w:color="auto" w:fill="auto"/>
            <w:noWrap/>
            <w:vAlign w:val="center"/>
            <w:hideMark/>
          </w:tcPr>
          <w:p w14:paraId="0384E5A2"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1.8 (1.2-2.7)</w:t>
            </w:r>
          </w:p>
        </w:tc>
        <w:tc>
          <w:tcPr>
            <w:tcW w:w="626" w:type="dxa"/>
            <w:tcBorders>
              <w:top w:val="nil"/>
              <w:left w:val="nil"/>
              <w:bottom w:val="nil"/>
              <w:right w:val="single" w:sz="4" w:space="0" w:color="auto"/>
            </w:tcBorders>
            <w:shd w:val="clear" w:color="auto" w:fill="auto"/>
            <w:noWrap/>
            <w:vAlign w:val="center"/>
            <w:hideMark/>
          </w:tcPr>
          <w:p w14:paraId="1C6A2137"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&lt;0.01</w:t>
            </w:r>
          </w:p>
        </w:tc>
      </w:tr>
      <w:tr w:rsidR="00307721" w:rsidRPr="00307721" w14:paraId="7331F384" w14:textId="77777777" w:rsidTr="00307721">
        <w:trPr>
          <w:trHeight w:val="300"/>
        </w:trPr>
        <w:tc>
          <w:tcPr>
            <w:tcW w:w="1560" w:type="dxa"/>
            <w:tcBorders>
              <w:top w:val="nil"/>
              <w:left w:val="nil"/>
              <w:bottom w:val="nil"/>
              <w:right w:val="nil"/>
            </w:tcBorders>
            <w:shd w:val="clear" w:color="auto" w:fill="auto"/>
            <w:noWrap/>
            <w:vAlign w:val="bottom"/>
            <w:hideMark/>
          </w:tcPr>
          <w:p w14:paraId="57B7BE96" w14:textId="77777777" w:rsidR="00307721" w:rsidRPr="00307721" w:rsidRDefault="00307721" w:rsidP="00307721">
            <w:pPr>
              <w:spacing w:after="0" w:line="240" w:lineRule="auto"/>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 xml:space="preserve">  Limpopo</w:t>
            </w:r>
          </w:p>
        </w:tc>
        <w:tc>
          <w:tcPr>
            <w:tcW w:w="1559" w:type="dxa"/>
            <w:tcBorders>
              <w:top w:val="nil"/>
              <w:left w:val="nil"/>
              <w:bottom w:val="nil"/>
              <w:right w:val="nil"/>
            </w:tcBorders>
            <w:shd w:val="clear" w:color="auto" w:fill="auto"/>
            <w:noWrap/>
            <w:vAlign w:val="center"/>
            <w:hideMark/>
          </w:tcPr>
          <w:p w14:paraId="3F1768DE" w14:textId="03C2B764" w:rsidR="00307721" w:rsidRPr="00307721" w:rsidRDefault="00900286"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48/1,148 (4</w:t>
            </w:r>
            <w:r w:rsidR="00307721" w:rsidRPr="00307721">
              <w:rPr>
                <w:rFonts w:ascii="Arial" w:eastAsia="Times New Roman" w:hAnsi="Arial" w:cs="Arial"/>
                <w:color w:val="000000"/>
                <w:sz w:val="16"/>
                <w:szCs w:val="16"/>
                <w:lang w:val="en-GB" w:eastAsia="en-GB"/>
              </w:rPr>
              <w:t>)</w:t>
            </w:r>
          </w:p>
        </w:tc>
        <w:tc>
          <w:tcPr>
            <w:tcW w:w="1559" w:type="dxa"/>
            <w:tcBorders>
              <w:top w:val="nil"/>
              <w:left w:val="nil"/>
              <w:bottom w:val="nil"/>
              <w:right w:val="single" w:sz="4" w:space="0" w:color="auto"/>
            </w:tcBorders>
            <w:shd w:val="clear" w:color="auto" w:fill="auto"/>
            <w:noWrap/>
            <w:vAlign w:val="center"/>
            <w:hideMark/>
          </w:tcPr>
          <w:p w14:paraId="001EE777" w14:textId="77777777"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43/2,775 (1.5)</w:t>
            </w:r>
          </w:p>
        </w:tc>
        <w:tc>
          <w:tcPr>
            <w:tcW w:w="1276" w:type="dxa"/>
            <w:tcBorders>
              <w:top w:val="nil"/>
              <w:left w:val="single" w:sz="4" w:space="0" w:color="auto"/>
              <w:bottom w:val="nil"/>
              <w:right w:val="nil"/>
            </w:tcBorders>
            <w:shd w:val="clear" w:color="auto" w:fill="auto"/>
            <w:noWrap/>
            <w:vAlign w:val="center"/>
            <w:hideMark/>
          </w:tcPr>
          <w:p w14:paraId="3CA27967"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6.1 (3.8-9.7)</w:t>
            </w:r>
          </w:p>
        </w:tc>
        <w:tc>
          <w:tcPr>
            <w:tcW w:w="626" w:type="dxa"/>
            <w:tcBorders>
              <w:top w:val="nil"/>
              <w:left w:val="nil"/>
              <w:bottom w:val="nil"/>
              <w:right w:val="single" w:sz="4" w:space="0" w:color="auto"/>
            </w:tcBorders>
            <w:shd w:val="clear" w:color="auto" w:fill="auto"/>
            <w:noWrap/>
            <w:vAlign w:val="center"/>
            <w:hideMark/>
          </w:tcPr>
          <w:p w14:paraId="40182E99"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&lt;0.01</w:t>
            </w:r>
          </w:p>
        </w:tc>
        <w:tc>
          <w:tcPr>
            <w:tcW w:w="1358" w:type="dxa"/>
            <w:tcBorders>
              <w:top w:val="nil"/>
              <w:left w:val="single" w:sz="4" w:space="0" w:color="auto"/>
              <w:bottom w:val="nil"/>
              <w:right w:val="nil"/>
            </w:tcBorders>
            <w:shd w:val="clear" w:color="auto" w:fill="auto"/>
            <w:noWrap/>
            <w:vAlign w:val="center"/>
            <w:hideMark/>
          </w:tcPr>
          <w:p w14:paraId="7AC0850F"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4.8 (2.3-9.9)</w:t>
            </w:r>
          </w:p>
        </w:tc>
        <w:tc>
          <w:tcPr>
            <w:tcW w:w="626" w:type="dxa"/>
            <w:tcBorders>
              <w:top w:val="nil"/>
              <w:left w:val="nil"/>
              <w:bottom w:val="nil"/>
              <w:right w:val="single" w:sz="4" w:space="0" w:color="auto"/>
            </w:tcBorders>
            <w:shd w:val="clear" w:color="auto" w:fill="auto"/>
            <w:noWrap/>
            <w:vAlign w:val="center"/>
            <w:hideMark/>
          </w:tcPr>
          <w:p w14:paraId="46BD9CB7"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&lt;0.01</w:t>
            </w:r>
          </w:p>
        </w:tc>
      </w:tr>
      <w:tr w:rsidR="00307721" w:rsidRPr="00307721" w14:paraId="3AA4E5CF" w14:textId="77777777" w:rsidTr="00307721">
        <w:trPr>
          <w:trHeight w:val="300"/>
        </w:trPr>
        <w:tc>
          <w:tcPr>
            <w:tcW w:w="1560" w:type="dxa"/>
            <w:tcBorders>
              <w:top w:val="nil"/>
              <w:left w:val="nil"/>
              <w:bottom w:val="nil"/>
              <w:right w:val="nil"/>
            </w:tcBorders>
            <w:shd w:val="clear" w:color="auto" w:fill="auto"/>
            <w:noWrap/>
            <w:vAlign w:val="bottom"/>
            <w:hideMark/>
          </w:tcPr>
          <w:p w14:paraId="5E580364" w14:textId="77777777" w:rsidR="00307721" w:rsidRPr="00307721" w:rsidRDefault="00307721" w:rsidP="00307721">
            <w:pPr>
              <w:spacing w:after="0" w:line="240" w:lineRule="auto"/>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 xml:space="preserve">  Mpumalanga</w:t>
            </w:r>
          </w:p>
        </w:tc>
        <w:tc>
          <w:tcPr>
            <w:tcW w:w="1559" w:type="dxa"/>
            <w:tcBorders>
              <w:top w:val="nil"/>
              <w:left w:val="nil"/>
              <w:bottom w:val="nil"/>
              <w:right w:val="nil"/>
            </w:tcBorders>
            <w:shd w:val="clear" w:color="auto" w:fill="auto"/>
            <w:noWrap/>
            <w:vAlign w:val="center"/>
            <w:hideMark/>
          </w:tcPr>
          <w:p w14:paraId="7186F7A8" w14:textId="7DB47E6F" w:rsidR="00307721" w:rsidRPr="00307721" w:rsidRDefault="00900286"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80/1,148 (7</w:t>
            </w:r>
            <w:r w:rsidR="00307721" w:rsidRPr="00307721">
              <w:rPr>
                <w:rFonts w:ascii="Arial" w:eastAsia="Times New Roman" w:hAnsi="Arial" w:cs="Arial"/>
                <w:color w:val="000000"/>
                <w:sz w:val="16"/>
                <w:szCs w:val="16"/>
                <w:lang w:val="en-GB" w:eastAsia="en-GB"/>
              </w:rPr>
              <w:t>)</w:t>
            </w:r>
          </w:p>
        </w:tc>
        <w:tc>
          <w:tcPr>
            <w:tcW w:w="1559" w:type="dxa"/>
            <w:tcBorders>
              <w:top w:val="nil"/>
              <w:left w:val="nil"/>
              <w:bottom w:val="nil"/>
              <w:right w:val="single" w:sz="4" w:space="0" w:color="auto"/>
            </w:tcBorders>
            <w:shd w:val="clear" w:color="auto" w:fill="auto"/>
            <w:noWrap/>
            <w:vAlign w:val="center"/>
            <w:hideMark/>
          </w:tcPr>
          <w:p w14:paraId="61D7CA30" w14:textId="77777777"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108/2,775 (3.9)</w:t>
            </w:r>
          </w:p>
        </w:tc>
        <w:tc>
          <w:tcPr>
            <w:tcW w:w="1276" w:type="dxa"/>
            <w:tcBorders>
              <w:top w:val="nil"/>
              <w:left w:val="single" w:sz="4" w:space="0" w:color="auto"/>
              <w:bottom w:val="nil"/>
              <w:right w:val="nil"/>
            </w:tcBorders>
            <w:shd w:val="clear" w:color="auto" w:fill="auto"/>
            <w:noWrap/>
            <w:vAlign w:val="center"/>
            <w:hideMark/>
          </w:tcPr>
          <w:p w14:paraId="2E746B7B"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4.1 (2.8-5.8)</w:t>
            </w:r>
          </w:p>
        </w:tc>
        <w:tc>
          <w:tcPr>
            <w:tcW w:w="626" w:type="dxa"/>
            <w:tcBorders>
              <w:top w:val="nil"/>
              <w:left w:val="nil"/>
              <w:bottom w:val="nil"/>
              <w:right w:val="single" w:sz="4" w:space="0" w:color="auto"/>
            </w:tcBorders>
            <w:shd w:val="clear" w:color="auto" w:fill="auto"/>
            <w:noWrap/>
            <w:vAlign w:val="center"/>
            <w:hideMark/>
          </w:tcPr>
          <w:p w14:paraId="434C1192"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&lt;0.01</w:t>
            </w:r>
          </w:p>
        </w:tc>
        <w:tc>
          <w:tcPr>
            <w:tcW w:w="1358" w:type="dxa"/>
            <w:tcBorders>
              <w:top w:val="nil"/>
              <w:left w:val="single" w:sz="4" w:space="0" w:color="auto"/>
              <w:bottom w:val="nil"/>
              <w:right w:val="nil"/>
            </w:tcBorders>
            <w:shd w:val="clear" w:color="auto" w:fill="auto"/>
            <w:noWrap/>
            <w:vAlign w:val="center"/>
            <w:hideMark/>
          </w:tcPr>
          <w:p w14:paraId="584AD73E"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2.2 (1.2-3.9)</w:t>
            </w:r>
          </w:p>
        </w:tc>
        <w:tc>
          <w:tcPr>
            <w:tcW w:w="626" w:type="dxa"/>
            <w:tcBorders>
              <w:top w:val="nil"/>
              <w:left w:val="nil"/>
              <w:bottom w:val="nil"/>
              <w:right w:val="single" w:sz="4" w:space="0" w:color="auto"/>
            </w:tcBorders>
            <w:shd w:val="clear" w:color="auto" w:fill="auto"/>
            <w:noWrap/>
            <w:vAlign w:val="center"/>
            <w:hideMark/>
          </w:tcPr>
          <w:p w14:paraId="4A30511F"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0.01</w:t>
            </w:r>
          </w:p>
        </w:tc>
      </w:tr>
      <w:tr w:rsidR="00307721" w:rsidRPr="00307721" w14:paraId="3387C9C2" w14:textId="77777777" w:rsidTr="00307721">
        <w:trPr>
          <w:trHeight w:val="300"/>
        </w:trPr>
        <w:tc>
          <w:tcPr>
            <w:tcW w:w="1560" w:type="dxa"/>
            <w:tcBorders>
              <w:top w:val="nil"/>
              <w:left w:val="nil"/>
              <w:bottom w:val="nil"/>
              <w:right w:val="nil"/>
            </w:tcBorders>
            <w:shd w:val="clear" w:color="auto" w:fill="auto"/>
            <w:noWrap/>
            <w:vAlign w:val="bottom"/>
            <w:hideMark/>
          </w:tcPr>
          <w:p w14:paraId="6310FDFB" w14:textId="77777777" w:rsidR="00307721" w:rsidRPr="00307721" w:rsidRDefault="00307721" w:rsidP="00307721">
            <w:pPr>
              <w:spacing w:after="0" w:line="240" w:lineRule="auto"/>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 xml:space="preserve">  Northern Cape</w:t>
            </w:r>
          </w:p>
        </w:tc>
        <w:tc>
          <w:tcPr>
            <w:tcW w:w="1559" w:type="dxa"/>
            <w:tcBorders>
              <w:top w:val="nil"/>
              <w:left w:val="nil"/>
              <w:bottom w:val="nil"/>
              <w:right w:val="nil"/>
            </w:tcBorders>
            <w:shd w:val="clear" w:color="auto" w:fill="auto"/>
            <w:noWrap/>
            <w:vAlign w:val="center"/>
            <w:hideMark/>
          </w:tcPr>
          <w:p w14:paraId="1DEC6079" w14:textId="1723447E" w:rsidR="00307721" w:rsidRPr="00307721" w:rsidRDefault="00900286"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47/1,148 (4</w:t>
            </w:r>
            <w:r w:rsidR="00307721" w:rsidRPr="00307721">
              <w:rPr>
                <w:rFonts w:ascii="Arial" w:eastAsia="Times New Roman" w:hAnsi="Arial" w:cs="Arial"/>
                <w:color w:val="000000"/>
                <w:sz w:val="16"/>
                <w:szCs w:val="16"/>
                <w:lang w:val="en-GB" w:eastAsia="en-GB"/>
              </w:rPr>
              <w:t>)</w:t>
            </w:r>
          </w:p>
        </w:tc>
        <w:tc>
          <w:tcPr>
            <w:tcW w:w="1559" w:type="dxa"/>
            <w:tcBorders>
              <w:top w:val="nil"/>
              <w:left w:val="nil"/>
              <w:bottom w:val="nil"/>
              <w:right w:val="single" w:sz="4" w:space="0" w:color="auto"/>
            </w:tcBorders>
            <w:shd w:val="clear" w:color="auto" w:fill="auto"/>
            <w:noWrap/>
            <w:vAlign w:val="center"/>
            <w:hideMark/>
          </w:tcPr>
          <w:p w14:paraId="103DD714" w14:textId="7853FF21" w:rsidR="00307721" w:rsidRPr="00307721" w:rsidRDefault="00900286"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110/2,775 (4</w:t>
            </w:r>
            <w:r w:rsidR="00307721" w:rsidRPr="00307721">
              <w:rPr>
                <w:rFonts w:ascii="Arial" w:eastAsia="Times New Roman" w:hAnsi="Arial" w:cs="Arial"/>
                <w:color w:val="000000"/>
                <w:sz w:val="16"/>
                <w:szCs w:val="16"/>
                <w:lang w:val="en-GB" w:eastAsia="en-GB"/>
              </w:rPr>
              <w:t>)</w:t>
            </w:r>
          </w:p>
        </w:tc>
        <w:tc>
          <w:tcPr>
            <w:tcW w:w="1276" w:type="dxa"/>
            <w:tcBorders>
              <w:top w:val="nil"/>
              <w:left w:val="single" w:sz="4" w:space="0" w:color="auto"/>
              <w:bottom w:val="nil"/>
              <w:right w:val="nil"/>
            </w:tcBorders>
            <w:shd w:val="clear" w:color="auto" w:fill="auto"/>
            <w:noWrap/>
            <w:vAlign w:val="center"/>
            <w:hideMark/>
          </w:tcPr>
          <w:p w14:paraId="2F70DAEE"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2.3 (1.6-3.5)</w:t>
            </w:r>
          </w:p>
        </w:tc>
        <w:tc>
          <w:tcPr>
            <w:tcW w:w="626" w:type="dxa"/>
            <w:tcBorders>
              <w:top w:val="nil"/>
              <w:left w:val="nil"/>
              <w:bottom w:val="nil"/>
              <w:right w:val="single" w:sz="4" w:space="0" w:color="auto"/>
            </w:tcBorders>
            <w:shd w:val="clear" w:color="auto" w:fill="auto"/>
            <w:noWrap/>
            <w:vAlign w:val="center"/>
            <w:hideMark/>
          </w:tcPr>
          <w:p w14:paraId="178BACF0"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&lt;0.01</w:t>
            </w:r>
          </w:p>
        </w:tc>
        <w:tc>
          <w:tcPr>
            <w:tcW w:w="1358" w:type="dxa"/>
            <w:tcBorders>
              <w:top w:val="nil"/>
              <w:left w:val="single" w:sz="4" w:space="0" w:color="auto"/>
              <w:bottom w:val="nil"/>
              <w:right w:val="nil"/>
            </w:tcBorders>
            <w:shd w:val="clear" w:color="auto" w:fill="auto"/>
            <w:noWrap/>
            <w:vAlign w:val="center"/>
            <w:hideMark/>
          </w:tcPr>
          <w:p w14:paraId="647629CF"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2.3 (1.4-3.9)</w:t>
            </w:r>
          </w:p>
        </w:tc>
        <w:tc>
          <w:tcPr>
            <w:tcW w:w="626" w:type="dxa"/>
            <w:tcBorders>
              <w:top w:val="nil"/>
              <w:left w:val="nil"/>
              <w:bottom w:val="nil"/>
              <w:right w:val="single" w:sz="4" w:space="0" w:color="auto"/>
            </w:tcBorders>
            <w:shd w:val="clear" w:color="auto" w:fill="auto"/>
            <w:noWrap/>
            <w:vAlign w:val="center"/>
            <w:hideMark/>
          </w:tcPr>
          <w:p w14:paraId="242ED400"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&lt;0.01</w:t>
            </w:r>
          </w:p>
        </w:tc>
      </w:tr>
      <w:tr w:rsidR="00307721" w:rsidRPr="00307721" w14:paraId="698F61BA" w14:textId="77777777" w:rsidTr="00307721">
        <w:trPr>
          <w:trHeight w:val="300"/>
        </w:trPr>
        <w:tc>
          <w:tcPr>
            <w:tcW w:w="1560" w:type="dxa"/>
            <w:tcBorders>
              <w:top w:val="nil"/>
              <w:left w:val="nil"/>
              <w:bottom w:val="nil"/>
              <w:right w:val="nil"/>
            </w:tcBorders>
            <w:shd w:val="clear" w:color="auto" w:fill="auto"/>
            <w:noWrap/>
            <w:vAlign w:val="bottom"/>
            <w:hideMark/>
          </w:tcPr>
          <w:p w14:paraId="7B53F56F" w14:textId="77777777" w:rsidR="00307721" w:rsidRPr="00307721" w:rsidRDefault="00307721" w:rsidP="00307721">
            <w:pPr>
              <w:spacing w:after="0" w:line="240" w:lineRule="auto"/>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 xml:space="preserve">  North West</w:t>
            </w:r>
          </w:p>
        </w:tc>
        <w:tc>
          <w:tcPr>
            <w:tcW w:w="1559" w:type="dxa"/>
            <w:tcBorders>
              <w:top w:val="nil"/>
              <w:left w:val="nil"/>
              <w:bottom w:val="nil"/>
              <w:right w:val="nil"/>
            </w:tcBorders>
            <w:shd w:val="clear" w:color="auto" w:fill="auto"/>
            <w:noWrap/>
            <w:vAlign w:val="center"/>
            <w:hideMark/>
          </w:tcPr>
          <w:p w14:paraId="5EFB9AFC" w14:textId="190CEB20" w:rsidR="00307721" w:rsidRPr="00307721" w:rsidRDefault="00900286"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99/1,148 (9</w:t>
            </w:r>
            <w:r w:rsidR="00307721" w:rsidRPr="00307721">
              <w:rPr>
                <w:rFonts w:ascii="Arial" w:eastAsia="Times New Roman" w:hAnsi="Arial" w:cs="Arial"/>
                <w:color w:val="000000"/>
                <w:sz w:val="16"/>
                <w:szCs w:val="16"/>
                <w:lang w:val="en-GB" w:eastAsia="en-GB"/>
              </w:rPr>
              <w:t>)</w:t>
            </w:r>
          </w:p>
        </w:tc>
        <w:tc>
          <w:tcPr>
            <w:tcW w:w="1559" w:type="dxa"/>
            <w:tcBorders>
              <w:top w:val="nil"/>
              <w:left w:val="nil"/>
              <w:bottom w:val="nil"/>
              <w:right w:val="single" w:sz="4" w:space="0" w:color="auto"/>
            </w:tcBorders>
            <w:shd w:val="clear" w:color="auto" w:fill="auto"/>
            <w:noWrap/>
            <w:vAlign w:val="center"/>
            <w:hideMark/>
          </w:tcPr>
          <w:p w14:paraId="75759288" w14:textId="59B418BE" w:rsidR="00307721" w:rsidRPr="00307721" w:rsidRDefault="00900286"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68/2,775 (3</w:t>
            </w:r>
            <w:r w:rsidR="00307721" w:rsidRPr="00307721">
              <w:rPr>
                <w:rFonts w:ascii="Arial" w:eastAsia="Times New Roman" w:hAnsi="Arial" w:cs="Arial"/>
                <w:color w:val="000000"/>
                <w:sz w:val="16"/>
                <w:szCs w:val="16"/>
                <w:lang w:val="en-GB" w:eastAsia="en-GB"/>
              </w:rPr>
              <w:t>)</w:t>
            </w:r>
          </w:p>
        </w:tc>
        <w:tc>
          <w:tcPr>
            <w:tcW w:w="1276" w:type="dxa"/>
            <w:tcBorders>
              <w:top w:val="nil"/>
              <w:left w:val="single" w:sz="4" w:space="0" w:color="auto"/>
              <w:bottom w:val="nil"/>
              <w:right w:val="nil"/>
            </w:tcBorders>
            <w:shd w:val="clear" w:color="auto" w:fill="auto"/>
            <w:noWrap/>
            <w:vAlign w:val="center"/>
            <w:hideMark/>
          </w:tcPr>
          <w:p w14:paraId="3A835535"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8.0 (5.5-11.6)</w:t>
            </w:r>
          </w:p>
        </w:tc>
        <w:tc>
          <w:tcPr>
            <w:tcW w:w="626" w:type="dxa"/>
            <w:tcBorders>
              <w:top w:val="nil"/>
              <w:left w:val="nil"/>
              <w:bottom w:val="nil"/>
              <w:right w:val="single" w:sz="4" w:space="0" w:color="auto"/>
            </w:tcBorders>
            <w:shd w:val="clear" w:color="auto" w:fill="auto"/>
            <w:noWrap/>
            <w:vAlign w:val="center"/>
            <w:hideMark/>
          </w:tcPr>
          <w:p w14:paraId="5B689803"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&lt;0.01</w:t>
            </w:r>
          </w:p>
        </w:tc>
        <w:tc>
          <w:tcPr>
            <w:tcW w:w="1358" w:type="dxa"/>
            <w:tcBorders>
              <w:top w:val="nil"/>
              <w:left w:val="single" w:sz="4" w:space="0" w:color="auto"/>
              <w:bottom w:val="nil"/>
              <w:right w:val="nil"/>
            </w:tcBorders>
            <w:shd w:val="clear" w:color="auto" w:fill="auto"/>
            <w:noWrap/>
            <w:vAlign w:val="center"/>
            <w:hideMark/>
          </w:tcPr>
          <w:p w14:paraId="569C890D"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25.1 (11.3-55.9)</w:t>
            </w:r>
          </w:p>
        </w:tc>
        <w:tc>
          <w:tcPr>
            <w:tcW w:w="626" w:type="dxa"/>
            <w:tcBorders>
              <w:top w:val="nil"/>
              <w:left w:val="nil"/>
              <w:bottom w:val="nil"/>
              <w:right w:val="single" w:sz="4" w:space="0" w:color="auto"/>
            </w:tcBorders>
            <w:shd w:val="clear" w:color="auto" w:fill="auto"/>
            <w:noWrap/>
            <w:vAlign w:val="center"/>
            <w:hideMark/>
          </w:tcPr>
          <w:p w14:paraId="4E428905"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&lt;0.01</w:t>
            </w:r>
          </w:p>
        </w:tc>
      </w:tr>
      <w:tr w:rsidR="00307721" w:rsidRPr="00307721" w14:paraId="5EA5238D" w14:textId="77777777" w:rsidTr="00307721">
        <w:trPr>
          <w:trHeight w:val="300"/>
        </w:trPr>
        <w:tc>
          <w:tcPr>
            <w:tcW w:w="1560" w:type="dxa"/>
            <w:tcBorders>
              <w:top w:val="nil"/>
              <w:left w:val="nil"/>
              <w:bottom w:val="nil"/>
              <w:right w:val="nil"/>
            </w:tcBorders>
            <w:shd w:val="clear" w:color="auto" w:fill="auto"/>
            <w:noWrap/>
            <w:vAlign w:val="bottom"/>
            <w:hideMark/>
          </w:tcPr>
          <w:p w14:paraId="3CA4FF67" w14:textId="77777777" w:rsidR="00307721" w:rsidRPr="00307721" w:rsidRDefault="00307721" w:rsidP="00307721">
            <w:pPr>
              <w:spacing w:after="0" w:line="240" w:lineRule="auto"/>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 xml:space="preserve">  Western Cape</w:t>
            </w:r>
          </w:p>
        </w:tc>
        <w:tc>
          <w:tcPr>
            <w:tcW w:w="1559" w:type="dxa"/>
            <w:tcBorders>
              <w:top w:val="nil"/>
              <w:left w:val="nil"/>
              <w:bottom w:val="nil"/>
              <w:right w:val="nil"/>
            </w:tcBorders>
            <w:shd w:val="clear" w:color="auto" w:fill="auto"/>
            <w:noWrap/>
            <w:vAlign w:val="center"/>
            <w:hideMark/>
          </w:tcPr>
          <w:p w14:paraId="20E6DC4D" w14:textId="10339820" w:rsidR="00307721" w:rsidRPr="00307721" w:rsidRDefault="00900286"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97/1,148 (8</w:t>
            </w:r>
            <w:r w:rsidR="00307721" w:rsidRPr="00307721">
              <w:rPr>
                <w:rFonts w:ascii="Arial" w:eastAsia="Times New Roman" w:hAnsi="Arial" w:cs="Arial"/>
                <w:color w:val="000000"/>
                <w:sz w:val="16"/>
                <w:szCs w:val="16"/>
                <w:lang w:val="en-GB" w:eastAsia="en-GB"/>
              </w:rPr>
              <w:t>)</w:t>
            </w:r>
          </w:p>
        </w:tc>
        <w:tc>
          <w:tcPr>
            <w:tcW w:w="1559" w:type="dxa"/>
            <w:tcBorders>
              <w:top w:val="nil"/>
              <w:left w:val="nil"/>
              <w:bottom w:val="nil"/>
              <w:right w:val="single" w:sz="4" w:space="0" w:color="auto"/>
            </w:tcBorders>
            <w:shd w:val="clear" w:color="auto" w:fill="auto"/>
            <w:noWrap/>
            <w:vAlign w:val="center"/>
            <w:hideMark/>
          </w:tcPr>
          <w:p w14:paraId="539E2D32" w14:textId="2E3AC019" w:rsidR="00307721" w:rsidRPr="00307721" w:rsidRDefault="00900286"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531/2,775 (19</w:t>
            </w:r>
            <w:r w:rsidR="00307721" w:rsidRPr="00307721">
              <w:rPr>
                <w:rFonts w:ascii="Arial" w:eastAsia="Times New Roman" w:hAnsi="Arial" w:cs="Arial"/>
                <w:color w:val="000000"/>
                <w:sz w:val="16"/>
                <w:szCs w:val="16"/>
                <w:lang w:val="en-GB" w:eastAsia="en-GB"/>
              </w:rPr>
              <w:t>)</w:t>
            </w:r>
          </w:p>
        </w:tc>
        <w:tc>
          <w:tcPr>
            <w:tcW w:w="1276" w:type="dxa"/>
            <w:tcBorders>
              <w:top w:val="nil"/>
              <w:left w:val="single" w:sz="4" w:space="0" w:color="auto"/>
              <w:bottom w:val="nil"/>
              <w:right w:val="nil"/>
            </w:tcBorders>
            <w:shd w:val="clear" w:color="auto" w:fill="auto"/>
            <w:noWrap/>
            <w:vAlign w:val="center"/>
            <w:hideMark/>
          </w:tcPr>
          <w:p w14:paraId="7638ABFB" w14:textId="77777777"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Reference</w:t>
            </w:r>
          </w:p>
        </w:tc>
        <w:tc>
          <w:tcPr>
            <w:tcW w:w="626" w:type="dxa"/>
            <w:tcBorders>
              <w:top w:val="nil"/>
              <w:left w:val="nil"/>
              <w:bottom w:val="nil"/>
              <w:right w:val="single" w:sz="4" w:space="0" w:color="auto"/>
            </w:tcBorders>
            <w:shd w:val="clear" w:color="auto" w:fill="auto"/>
            <w:noWrap/>
            <w:vAlign w:val="center"/>
            <w:hideMark/>
          </w:tcPr>
          <w:p w14:paraId="772AADB2" w14:textId="33DAD0EE"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w:t>
            </w:r>
          </w:p>
        </w:tc>
        <w:tc>
          <w:tcPr>
            <w:tcW w:w="1358" w:type="dxa"/>
            <w:tcBorders>
              <w:top w:val="nil"/>
              <w:left w:val="single" w:sz="4" w:space="0" w:color="auto"/>
              <w:bottom w:val="nil"/>
              <w:right w:val="nil"/>
            </w:tcBorders>
            <w:shd w:val="clear" w:color="auto" w:fill="auto"/>
            <w:noWrap/>
            <w:vAlign w:val="center"/>
            <w:hideMark/>
          </w:tcPr>
          <w:p w14:paraId="3B568D0F" w14:textId="77777777"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Reference</w:t>
            </w:r>
          </w:p>
        </w:tc>
        <w:tc>
          <w:tcPr>
            <w:tcW w:w="626" w:type="dxa"/>
            <w:tcBorders>
              <w:top w:val="nil"/>
              <w:left w:val="nil"/>
              <w:bottom w:val="nil"/>
              <w:right w:val="single" w:sz="4" w:space="0" w:color="auto"/>
            </w:tcBorders>
            <w:shd w:val="clear" w:color="auto" w:fill="auto"/>
            <w:noWrap/>
            <w:vAlign w:val="center"/>
            <w:hideMark/>
          </w:tcPr>
          <w:p w14:paraId="026E5AFC" w14:textId="0666AF97"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w:t>
            </w:r>
          </w:p>
        </w:tc>
      </w:tr>
      <w:tr w:rsidR="00307721" w:rsidRPr="00307721" w14:paraId="6BA5F017" w14:textId="77777777" w:rsidTr="00307721">
        <w:trPr>
          <w:trHeight w:val="300"/>
        </w:trPr>
        <w:tc>
          <w:tcPr>
            <w:tcW w:w="3119" w:type="dxa"/>
            <w:gridSpan w:val="2"/>
            <w:tcBorders>
              <w:top w:val="nil"/>
              <w:left w:val="nil"/>
              <w:bottom w:val="nil"/>
              <w:right w:val="nil"/>
            </w:tcBorders>
            <w:shd w:val="clear" w:color="auto" w:fill="auto"/>
            <w:noWrap/>
            <w:vAlign w:val="center"/>
            <w:hideMark/>
          </w:tcPr>
          <w:p w14:paraId="5C311591" w14:textId="06259C3B" w:rsidR="00307721" w:rsidRPr="00307721" w:rsidRDefault="00307721" w:rsidP="000D0CB5">
            <w:pPr>
              <w:spacing w:after="0" w:line="240" w:lineRule="auto"/>
              <w:rPr>
                <w:rFonts w:ascii="Arial" w:eastAsia="Times New Roman" w:hAnsi="Arial" w:cs="Arial"/>
                <w:color w:val="000000"/>
                <w:sz w:val="16"/>
                <w:szCs w:val="16"/>
                <w:lang w:val="en-GB" w:eastAsia="en-GB"/>
              </w:rPr>
            </w:pPr>
            <w:r w:rsidRPr="00307721">
              <w:rPr>
                <w:rFonts w:ascii="Arial" w:eastAsia="Times New Roman" w:hAnsi="Arial" w:cs="Arial"/>
                <w:b/>
                <w:bCs/>
                <w:color w:val="000000"/>
                <w:sz w:val="16"/>
                <w:szCs w:val="16"/>
                <w:lang w:val="en-GB" w:eastAsia="en-GB"/>
              </w:rPr>
              <w:t>HIV status (N=3,0</w:t>
            </w:r>
            <w:r w:rsidR="000D0CB5">
              <w:rPr>
                <w:rFonts w:ascii="Arial" w:eastAsia="Times New Roman" w:hAnsi="Arial" w:cs="Arial"/>
                <w:b/>
                <w:bCs/>
                <w:color w:val="000000"/>
                <w:sz w:val="16"/>
                <w:szCs w:val="16"/>
                <w:lang w:val="en-GB" w:eastAsia="en-GB"/>
              </w:rPr>
              <w:t>0</w:t>
            </w:r>
            <w:r w:rsidRPr="00307721">
              <w:rPr>
                <w:rFonts w:ascii="Arial" w:eastAsia="Times New Roman" w:hAnsi="Arial" w:cs="Arial"/>
                <w:b/>
                <w:bCs/>
                <w:color w:val="000000"/>
                <w:sz w:val="16"/>
                <w:szCs w:val="16"/>
                <w:lang w:val="en-GB" w:eastAsia="en-GB"/>
              </w:rPr>
              <w:t>0)</w:t>
            </w:r>
          </w:p>
        </w:tc>
        <w:tc>
          <w:tcPr>
            <w:tcW w:w="1559" w:type="dxa"/>
            <w:tcBorders>
              <w:top w:val="nil"/>
              <w:left w:val="nil"/>
              <w:bottom w:val="nil"/>
              <w:right w:val="single" w:sz="4" w:space="0" w:color="auto"/>
            </w:tcBorders>
            <w:shd w:val="clear" w:color="auto" w:fill="auto"/>
            <w:noWrap/>
            <w:vAlign w:val="center"/>
            <w:hideMark/>
          </w:tcPr>
          <w:p w14:paraId="62155236" w14:textId="556931BF"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p>
        </w:tc>
        <w:tc>
          <w:tcPr>
            <w:tcW w:w="1276" w:type="dxa"/>
            <w:tcBorders>
              <w:top w:val="nil"/>
              <w:left w:val="single" w:sz="4" w:space="0" w:color="auto"/>
              <w:bottom w:val="nil"/>
              <w:right w:val="nil"/>
            </w:tcBorders>
            <w:shd w:val="clear" w:color="auto" w:fill="auto"/>
            <w:noWrap/>
            <w:vAlign w:val="center"/>
            <w:hideMark/>
          </w:tcPr>
          <w:p w14:paraId="66FFD77A" w14:textId="3FA658CF"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p>
        </w:tc>
        <w:tc>
          <w:tcPr>
            <w:tcW w:w="626" w:type="dxa"/>
            <w:tcBorders>
              <w:top w:val="nil"/>
              <w:left w:val="nil"/>
              <w:bottom w:val="nil"/>
              <w:right w:val="single" w:sz="4" w:space="0" w:color="auto"/>
            </w:tcBorders>
            <w:shd w:val="clear" w:color="auto" w:fill="auto"/>
            <w:noWrap/>
            <w:vAlign w:val="center"/>
            <w:hideMark/>
          </w:tcPr>
          <w:p w14:paraId="7FFA58CE" w14:textId="6BA9D0AB"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p>
        </w:tc>
        <w:tc>
          <w:tcPr>
            <w:tcW w:w="1358" w:type="dxa"/>
            <w:tcBorders>
              <w:top w:val="nil"/>
              <w:left w:val="single" w:sz="4" w:space="0" w:color="auto"/>
              <w:bottom w:val="nil"/>
              <w:right w:val="nil"/>
            </w:tcBorders>
            <w:shd w:val="clear" w:color="auto" w:fill="auto"/>
            <w:noWrap/>
            <w:vAlign w:val="center"/>
            <w:hideMark/>
          </w:tcPr>
          <w:p w14:paraId="422DCFD8" w14:textId="6CB7174C"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p>
        </w:tc>
        <w:tc>
          <w:tcPr>
            <w:tcW w:w="626" w:type="dxa"/>
            <w:tcBorders>
              <w:top w:val="nil"/>
              <w:left w:val="nil"/>
              <w:bottom w:val="nil"/>
              <w:right w:val="single" w:sz="4" w:space="0" w:color="auto"/>
            </w:tcBorders>
            <w:shd w:val="clear" w:color="auto" w:fill="auto"/>
            <w:noWrap/>
            <w:vAlign w:val="center"/>
            <w:hideMark/>
          </w:tcPr>
          <w:p w14:paraId="728B78CB" w14:textId="47059D18"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p>
        </w:tc>
      </w:tr>
      <w:tr w:rsidR="00307721" w:rsidRPr="00307721" w14:paraId="6792106E" w14:textId="77777777" w:rsidTr="00307721">
        <w:trPr>
          <w:trHeight w:val="300"/>
        </w:trPr>
        <w:tc>
          <w:tcPr>
            <w:tcW w:w="1560" w:type="dxa"/>
            <w:tcBorders>
              <w:top w:val="nil"/>
              <w:left w:val="nil"/>
              <w:bottom w:val="nil"/>
              <w:right w:val="nil"/>
            </w:tcBorders>
            <w:shd w:val="clear" w:color="auto" w:fill="auto"/>
            <w:noWrap/>
            <w:vAlign w:val="bottom"/>
            <w:hideMark/>
          </w:tcPr>
          <w:p w14:paraId="57F8955F" w14:textId="77777777" w:rsidR="00307721" w:rsidRPr="00307721" w:rsidRDefault="00307721" w:rsidP="00307721">
            <w:pPr>
              <w:spacing w:after="0" w:line="240" w:lineRule="auto"/>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 xml:space="preserve">  Uninfected</w:t>
            </w:r>
          </w:p>
        </w:tc>
        <w:tc>
          <w:tcPr>
            <w:tcW w:w="1559" w:type="dxa"/>
            <w:tcBorders>
              <w:top w:val="nil"/>
              <w:left w:val="nil"/>
              <w:bottom w:val="nil"/>
              <w:right w:val="nil"/>
            </w:tcBorders>
            <w:shd w:val="clear" w:color="auto" w:fill="auto"/>
            <w:noWrap/>
            <w:vAlign w:val="center"/>
            <w:hideMark/>
          </w:tcPr>
          <w:p w14:paraId="76873074" w14:textId="0DA50A71"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268/888 (</w:t>
            </w:r>
            <w:r>
              <w:rPr>
                <w:rFonts w:ascii="Arial" w:eastAsia="Times New Roman" w:hAnsi="Arial" w:cs="Arial"/>
                <w:color w:val="000000"/>
                <w:sz w:val="16"/>
                <w:szCs w:val="16"/>
                <w:lang w:val="en-GB" w:eastAsia="en-GB"/>
              </w:rPr>
              <w:t>30</w:t>
            </w:r>
            <w:r w:rsidRPr="00307721">
              <w:rPr>
                <w:rFonts w:ascii="Arial" w:eastAsia="Times New Roman" w:hAnsi="Arial" w:cs="Arial"/>
                <w:color w:val="000000"/>
                <w:sz w:val="16"/>
                <w:szCs w:val="16"/>
                <w:lang w:val="en-GB" w:eastAsia="en-GB"/>
              </w:rPr>
              <w:t>)</w:t>
            </w:r>
          </w:p>
        </w:tc>
        <w:tc>
          <w:tcPr>
            <w:tcW w:w="1559" w:type="dxa"/>
            <w:tcBorders>
              <w:top w:val="nil"/>
              <w:left w:val="nil"/>
              <w:bottom w:val="nil"/>
              <w:right w:val="single" w:sz="4" w:space="0" w:color="auto"/>
            </w:tcBorders>
            <w:shd w:val="clear" w:color="auto" w:fill="auto"/>
            <w:noWrap/>
            <w:vAlign w:val="center"/>
            <w:hideMark/>
          </w:tcPr>
          <w:p w14:paraId="3B5AD544" w14:textId="25485493" w:rsidR="00307721" w:rsidRPr="000D0CB5" w:rsidRDefault="00900286" w:rsidP="000D0CB5">
            <w:pPr>
              <w:spacing w:after="0" w:line="240" w:lineRule="auto"/>
              <w:jc w:val="center"/>
              <w:rPr>
                <w:rFonts w:ascii="Arial" w:eastAsia="Times New Roman" w:hAnsi="Arial" w:cs="Arial"/>
                <w:color w:val="000000"/>
                <w:sz w:val="16"/>
                <w:szCs w:val="16"/>
                <w:lang w:val="en-GB" w:eastAsia="en-GB"/>
              </w:rPr>
            </w:pPr>
            <w:r w:rsidRPr="000D0CB5">
              <w:rPr>
                <w:rFonts w:ascii="Arial" w:eastAsia="Times New Roman" w:hAnsi="Arial" w:cs="Arial"/>
                <w:color w:val="000000"/>
                <w:sz w:val="16"/>
                <w:szCs w:val="16"/>
                <w:lang w:val="en-GB" w:eastAsia="en-GB"/>
              </w:rPr>
              <w:t>755</w:t>
            </w:r>
            <w:r w:rsidR="00307721" w:rsidRPr="000D0CB5">
              <w:rPr>
                <w:rFonts w:ascii="Arial" w:eastAsia="Times New Roman" w:hAnsi="Arial" w:cs="Arial"/>
                <w:color w:val="000000"/>
                <w:sz w:val="16"/>
                <w:szCs w:val="16"/>
                <w:lang w:val="en-GB" w:eastAsia="en-GB"/>
              </w:rPr>
              <w:t>/2,1</w:t>
            </w:r>
            <w:r w:rsidR="000D0CB5" w:rsidRPr="000D0CB5">
              <w:rPr>
                <w:rFonts w:ascii="Arial" w:eastAsia="Times New Roman" w:hAnsi="Arial" w:cs="Arial"/>
                <w:color w:val="000000"/>
                <w:sz w:val="16"/>
                <w:szCs w:val="16"/>
                <w:lang w:val="en-GB" w:eastAsia="en-GB"/>
              </w:rPr>
              <w:t>12</w:t>
            </w:r>
            <w:r w:rsidR="00307721" w:rsidRPr="000D0CB5">
              <w:rPr>
                <w:rFonts w:ascii="Arial" w:eastAsia="Times New Roman" w:hAnsi="Arial" w:cs="Arial"/>
                <w:color w:val="000000"/>
                <w:sz w:val="16"/>
                <w:szCs w:val="16"/>
                <w:lang w:val="en-GB" w:eastAsia="en-GB"/>
              </w:rPr>
              <w:t xml:space="preserve"> (</w:t>
            </w:r>
            <w:r w:rsidRPr="000D0CB5">
              <w:rPr>
                <w:rFonts w:ascii="Arial" w:eastAsia="Times New Roman" w:hAnsi="Arial" w:cs="Arial"/>
                <w:color w:val="000000"/>
                <w:sz w:val="16"/>
                <w:szCs w:val="16"/>
                <w:lang w:val="en-GB" w:eastAsia="en-GB"/>
              </w:rPr>
              <w:t>3</w:t>
            </w:r>
            <w:r w:rsidR="000D0CB5" w:rsidRPr="000D0CB5">
              <w:rPr>
                <w:rFonts w:ascii="Arial" w:eastAsia="Times New Roman" w:hAnsi="Arial" w:cs="Arial"/>
                <w:color w:val="000000"/>
                <w:sz w:val="16"/>
                <w:szCs w:val="16"/>
                <w:lang w:val="en-GB" w:eastAsia="en-GB"/>
              </w:rPr>
              <w:t>6</w:t>
            </w:r>
            <w:r w:rsidR="00307721" w:rsidRPr="000D0CB5">
              <w:rPr>
                <w:rFonts w:ascii="Arial" w:eastAsia="Times New Roman" w:hAnsi="Arial" w:cs="Arial"/>
                <w:color w:val="000000"/>
                <w:sz w:val="16"/>
                <w:szCs w:val="16"/>
                <w:lang w:val="en-GB" w:eastAsia="en-GB"/>
              </w:rPr>
              <w:t>)</w:t>
            </w:r>
          </w:p>
        </w:tc>
        <w:tc>
          <w:tcPr>
            <w:tcW w:w="1276" w:type="dxa"/>
            <w:tcBorders>
              <w:top w:val="nil"/>
              <w:left w:val="single" w:sz="4" w:space="0" w:color="auto"/>
              <w:bottom w:val="nil"/>
              <w:right w:val="nil"/>
            </w:tcBorders>
            <w:shd w:val="clear" w:color="auto" w:fill="auto"/>
            <w:noWrap/>
            <w:vAlign w:val="center"/>
            <w:hideMark/>
          </w:tcPr>
          <w:p w14:paraId="26B466C0" w14:textId="77777777"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Reference</w:t>
            </w:r>
          </w:p>
        </w:tc>
        <w:tc>
          <w:tcPr>
            <w:tcW w:w="626" w:type="dxa"/>
            <w:tcBorders>
              <w:top w:val="nil"/>
              <w:left w:val="nil"/>
              <w:bottom w:val="nil"/>
              <w:right w:val="single" w:sz="4" w:space="0" w:color="auto"/>
            </w:tcBorders>
            <w:shd w:val="clear" w:color="auto" w:fill="auto"/>
            <w:noWrap/>
            <w:vAlign w:val="center"/>
            <w:hideMark/>
          </w:tcPr>
          <w:p w14:paraId="71D68D71" w14:textId="091F7522"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w:t>
            </w:r>
          </w:p>
        </w:tc>
        <w:tc>
          <w:tcPr>
            <w:tcW w:w="1358" w:type="dxa"/>
            <w:tcBorders>
              <w:top w:val="nil"/>
              <w:left w:val="single" w:sz="4" w:space="0" w:color="auto"/>
              <w:bottom w:val="nil"/>
              <w:right w:val="nil"/>
            </w:tcBorders>
            <w:shd w:val="clear" w:color="auto" w:fill="auto"/>
            <w:noWrap/>
            <w:vAlign w:val="center"/>
            <w:hideMark/>
          </w:tcPr>
          <w:p w14:paraId="4EFD2302" w14:textId="2B8C6F22"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w:t>
            </w:r>
          </w:p>
        </w:tc>
        <w:tc>
          <w:tcPr>
            <w:tcW w:w="626" w:type="dxa"/>
            <w:tcBorders>
              <w:top w:val="nil"/>
              <w:left w:val="nil"/>
              <w:bottom w:val="nil"/>
              <w:right w:val="single" w:sz="4" w:space="0" w:color="auto"/>
            </w:tcBorders>
            <w:shd w:val="clear" w:color="auto" w:fill="auto"/>
            <w:noWrap/>
            <w:vAlign w:val="center"/>
            <w:hideMark/>
          </w:tcPr>
          <w:p w14:paraId="6034E069" w14:textId="09C31657"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w:t>
            </w:r>
          </w:p>
        </w:tc>
      </w:tr>
      <w:tr w:rsidR="00307721" w:rsidRPr="00307721" w14:paraId="63051E1D" w14:textId="77777777" w:rsidTr="008A4076">
        <w:trPr>
          <w:trHeight w:val="300"/>
        </w:trPr>
        <w:tc>
          <w:tcPr>
            <w:tcW w:w="1560" w:type="dxa"/>
            <w:tcBorders>
              <w:top w:val="nil"/>
              <w:left w:val="nil"/>
              <w:bottom w:val="nil"/>
              <w:right w:val="nil"/>
            </w:tcBorders>
            <w:shd w:val="clear" w:color="auto" w:fill="auto"/>
            <w:noWrap/>
            <w:vAlign w:val="bottom"/>
            <w:hideMark/>
          </w:tcPr>
          <w:p w14:paraId="698D4891" w14:textId="77777777" w:rsidR="00307721" w:rsidRPr="00307721" w:rsidRDefault="00307721" w:rsidP="00307721">
            <w:pPr>
              <w:spacing w:after="0" w:line="240" w:lineRule="auto"/>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 xml:space="preserve">  Infected</w:t>
            </w:r>
          </w:p>
        </w:tc>
        <w:tc>
          <w:tcPr>
            <w:tcW w:w="1559" w:type="dxa"/>
            <w:tcBorders>
              <w:top w:val="nil"/>
              <w:left w:val="nil"/>
              <w:bottom w:val="nil"/>
              <w:right w:val="nil"/>
            </w:tcBorders>
            <w:shd w:val="clear" w:color="auto" w:fill="auto"/>
            <w:noWrap/>
            <w:vAlign w:val="center"/>
            <w:hideMark/>
          </w:tcPr>
          <w:p w14:paraId="6C25BF23" w14:textId="52372599" w:rsidR="00307721" w:rsidRPr="00307721" w:rsidRDefault="00307721" w:rsidP="00900286">
            <w:pPr>
              <w:spacing w:after="0" w:line="240" w:lineRule="auto"/>
              <w:jc w:val="center"/>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620/888 (</w:t>
            </w:r>
            <w:r w:rsidR="00900286">
              <w:rPr>
                <w:rFonts w:ascii="Arial" w:eastAsia="Times New Roman" w:hAnsi="Arial" w:cs="Arial"/>
                <w:color w:val="000000"/>
                <w:sz w:val="16"/>
                <w:szCs w:val="16"/>
                <w:lang w:val="en-GB" w:eastAsia="en-GB"/>
              </w:rPr>
              <w:t>70</w:t>
            </w:r>
            <w:r w:rsidRPr="00307721">
              <w:rPr>
                <w:rFonts w:ascii="Arial" w:eastAsia="Times New Roman" w:hAnsi="Arial" w:cs="Arial"/>
                <w:color w:val="000000"/>
                <w:sz w:val="16"/>
                <w:szCs w:val="16"/>
                <w:lang w:val="en-GB" w:eastAsia="en-GB"/>
              </w:rPr>
              <w:t>)</w:t>
            </w:r>
          </w:p>
        </w:tc>
        <w:tc>
          <w:tcPr>
            <w:tcW w:w="1559" w:type="dxa"/>
            <w:tcBorders>
              <w:top w:val="nil"/>
              <w:left w:val="nil"/>
              <w:bottom w:val="nil"/>
              <w:right w:val="single" w:sz="4" w:space="0" w:color="auto"/>
            </w:tcBorders>
            <w:shd w:val="clear" w:color="auto" w:fill="auto"/>
            <w:noWrap/>
            <w:vAlign w:val="center"/>
            <w:hideMark/>
          </w:tcPr>
          <w:p w14:paraId="7F228118" w14:textId="0E49AE1E" w:rsidR="00307721" w:rsidRPr="000D0CB5" w:rsidRDefault="00900286" w:rsidP="000D0CB5">
            <w:pPr>
              <w:spacing w:after="0" w:line="240" w:lineRule="auto"/>
              <w:jc w:val="center"/>
              <w:rPr>
                <w:rFonts w:ascii="Arial" w:eastAsia="Times New Roman" w:hAnsi="Arial" w:cs="Arial"/>
                <w:color w:val="000000"/>
                <w:sz w:val="16"/>
                <w:szCs w:val="16"/>
                <w:lang w:val="en-GB" w:eastAsia="en-GB"/>
              </w:rPr>
            </w:pPr>
            <w:r w:rsidRPr="000D0CB5">
              <w:rPr>
                <w:rFonts w:ascii="Arial" w:eastAsia="Times New Roman" w:hAnsi="Arial" w:cs="Arial"/>
                <w:color w:val="000000"/>
                <w:sz w:val="16"/>
                <w:szCs w:val="16"/>
                <w:lang w:val="en-GB" w:eastAsia="en-GB"/>
              </w:rPr>
              <w:t>1,357</w:t>
            </w:r>
            <w:r w:rsidR="00307721" w:rsidRPr="000D0CB5">
              <w:rPr>
                <w:rFonts w:ascii="Arial" w:eastAsia="Times New Roman" w:hAnsi="Arial" w:cs="Arial"/>
                <w:color w:val="000000"/>
                <w:sz w:val="16"/>
                <w:szCs w:val="16"/>
                <w:lang w:val="en-GB" w:eastAsia="en-GB"/>
              </w:rPr>
              <w:t>/2,1</w:t>
            </w:r>
            <w:r w:rsidR="000D0CB5" w:rsidRPr="000D0CB5">
              <w:rPr>
                <w:rFonts w:ascii="Arial" w:eastAsia="Times New Roman" w:hAnsi="Arial" w:cs="Arial"/>
                <w:color w:val="000000"/>
                <w:sz w:val="16"/>
                <w:szCs w:val="16"/>
                <w:lang w:val="en-GB" w:eastAsia="en-GB"/>
              </w:rPr>
              <w:t>12</w:t>
            </w:r>
            <w:r w:rsidR="00307721" w:rsidRPr="000D0CB5">
              <w:rPr>
                <w:rFonts w:ascii="Arial" w:eastAsia="Times New Roman" w:hAnsi="Arial" w:cs="Arial"/>
                <w:color w:val="000000"/>
                <w:sz w:val="16"/>
                <w:szCs w:val="16"/>
                <w:lang w:val="en-GB" w:eastAsia="en-GB"/>
              </w:rPr>
              <w:t xml:space="preserve"> (</w:t>
            </w:r>
            <w:r w:rsidR="000D0CB5" w:rsidRPr="000D0CB5">
              <w:rPr>
                <w:rFonts w:ascii="Arial" w:eastAsia="Times New Roman" w:hAnsi="Arial" w:cs="Arial"/>
                <w:color w:val="000000"/>
                <w:sz w:val="16"/>
                <w:szCs w:val="16"/>
                <w:lang w:val="en-GB" w:eastAsia="en-GB"/>
              </w:rPr>
              <w:t>64</w:t>
            </w:r>
            <w:r w:rsidR="00307721" w:rsidRPr="000D0CB5">
              <w:rPr>
                <w:rFonts w:ascii="Arial" w:eastAsia="Times New Roman" w:hAnsi="Arial" w:cs="Arial"/>
                <w:color w:val="000000"/>
                <w:sz w:val="16"/>
                <w:szCs w:val="16"/>
                <w:lang w:val="en-GB" w:eastAsia="en-GB"/>
              </w:rPr>
              <w:t>)</w:t>
            </w:r>
          </w:p>
        </w:tc>
        <w:tc>
          <w:tcPr>
            <w:tcW w:w="1276" w:type="dxa"/>
            <w:tcBorders>
              <w:top w:val="nil"/>
              <w:left w:val="single" w:sz="4" w:space="0" w:color="auto"/>
              <w:bottom w:val="nil"/>
              <w:right w:val="nil"/>
            </w:tcBorders>
            <w:shd w:val="clear" w:color="auto" w:fill="auto"/>
            <w:noWrap/>
            <w:vAlign w:val="center"/>
            <w:hideMark/>
          </w:tcPr>
          <w:p w14:paraId="69BF7EC3"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1.3 (1.1-1.5)</w:t>
            </w:r>
          </w:p>
        </w:tc>
        <w:tc>
          <w:tcPr>
            <w:tcW w:w="626" w:type="dxa"/>
            <w:tcBorders>
              <w:top w:val="nil"/>
              <w:left w:val="nil"/>
              <w:bottom w:val="nil"/>
              <w:right w:val="single" w:sz="4" w:space="0" w:color="auto"/>
            </w:tcBorders>
            <w:shd w:val="clear" w:color="auto" w:fill="auto"/>
            <w:noWrap/>
            <w:vAlign w:val="center"/>
            <w:hideMark/>
          </w:tcPr>
          <w:p w14:paraId="726EE138"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&lt;0.01</w:t>
            </w:r>
          </w:p>
        </w:tc>
        <w:tc>
          <w:tcPr>
            <w:tcW w:w="1358" w:type="dxa"/>
            <w:tcBorders>
              <w:top w:val="nil"/>
              <w:left w:val="single" w:sz="4" w:space="0" w:color="auto"/>
              <w:bottom w:val="nil"/>
              <w:right w:val="nil"/>
            </w:tcBorders>
            <w:shd w:val="clear" w:color="auto" w:fill="auto"/>
            <w:noWrap/>
            <w:vAlign w:val="center"/>
          </w:tcPr>
          <w:p w14:paraId="22C30E24" w14:textId="768A2B0B" w:rsidR="00307721" w:rsidRPr="008A4076" w:rsidRDefault="008A4076" w:rsidP="00307721">
            <w:pPr>
              <w:spacing w:after="0" w:line="240" w:lineRule="auto"/>
              <w:jc w:val="center"/>
              <w:rPr>
                <w:rFonts w:ascii="Arial" w:eastAsia="Times New Roman" w:hAnsi="Arial" w:cs="Arial"/>
                <w:color w:val="000000"/>
                <w:sz w:val="16"/>
                <w:szCs w:val="16"/>
                <w:lang w:val="en-GB" w:eastAsia="en-GB"/>
              </w:rPr>
            </w:pPr>
            <w:r w:rsidRPr="008A4076">
              <w:rPr>
                <w:rFonts w:ascii="Arial" w:eastAsia="Times New Roman" w:hAnsi="Arial" w:cs="Arial"/>
                <w:color w:val="000000"/>
                <w:sz w:val="16"/>
                <w:szCs w:val="16"/>
                <w:lang w:val="en-GB" w:eastAsia="en-GB"/>
              </w:rPr>
              <w:t>-</w:t>
            </w:r>
          </w:p>
        </w:tc>
        <w:tc>
          <w:tcPr>
            <w:tcW w:w="626" w:type="dxa"/>
            <w:tcBorders>
              <w:top w:val="nil"/>
              <w:left w:val="nil"/>
              <w:bottom w:val="nil"/>
              <w:right w:val="single" w:sz="4" w:space="0" w:color="auto"/>
            </w:tcBorders>
            <w:shd w:val="clear" w:color="auto" w:fill="auto"/>
            <w:noWrap/>
            <w:vAlign w:val="center"/>
          </w:tcPr>
          <w:p w14:paraId="30024B07" w14:textId="3F6EC4C1" w:rsidR="00307721" w:rsidRPr="008A4076" w:rsidRDefault="008A4076" w:rsidP="00307721">
            <w:pPr>
              <w:spacing w:after="0" w:line="240" w:lineRule="auto"/>
              <w:jc w:val="center"/>
              <w:rPr>
                <w:rFonts w:ascii="Arial" w:eastAsia="Times New Roman" w:hAnsi="Arial" w:cs="Arial"/>
                <w:color w:val="000000"/>
                <w:sz w:val="16"/>
                <w:szCs w:val="16"/>
                <w:lang w:val="en-GB" w:eastAsia="en-GB"/>
              </w:rPr>
            </w:pPr>
            <w:r w:rsidRPr="008A4076">
              <w:rPr>
                <w:rFonts w:ascii="Arial" w:eastAsia="Times New Roman" w:hAnsi="Arial" w:cs="Arial"/>
                <w:color w:val="000000"/>
                <w:sz w:val="16"/>
                <w:szCs w:val="16"/>
                <w:lang w:val="en-GB" w:eastAsia="en-GB"/>
              </w:rPr>
              <w:t>-</w:t>
            </w:r>
          </w:p>
        </w:tc>
      </w:tr>
      <w:tr w:rsidR="00307721" w:rsidRPr="00307721" w14:paraId="34498513" w14:textId="77777777" w:rsidTr="00307721">
        <w:trPr>
          <w:trHeight w:val="300"/>
        </w:trPr>
        <w:tc>
          <w:tcPr>
            <w:tcW w:w="3119" w:type="dxa"/>
            <w:gridSpan w:val="2"/>
            <w:tcBorders>
              <w:top w:val="nil"/>
              <w:left w:val="nil"/>
              <w:bottom w:val="nil"/>
              <w:right w:val="nil"/>
            </w:tcBorders>
            <w:shd w:val="clear" w:color="auto" w:fill="auto"/>
            <w:noWrap/>
            <w:vAlign w:val="center"/>
            <w:hideMark/>
          </w:tcPr>
          <w:p w14:paraId="66E8216C" w14:textId="7223E9CF" w:rsidR="00307721" w:rsidRPr="00307721" w:rsidRDefault="00307721" w:rsidP="00CF32A2">
            <w:pPr>
              <w:spacing w:after="0" w:line="240" w:lineRule="auto"/>
              <w:rPr>
                <w:rFonts w:ascii="Arial" w:eastAsia="Times New Roman" w:hAnsi="Arial" w:cs="Arial"/>
                <w:color w:val="000000"/>
                <w:sz w:val="16"/>
                <w:szCs w:val="16"/>
                <w:lang w:val="en-GB" w:eastAsia="en-GB"/>
              </w:rPr>
            </w:pPr>
            <w:r w:rsidRPr="00307721">
              <w:rPr>
                <w:rFonts w:ascii="Arial" w:eastAsia="Times New Roman" w:hAnsi="Arial" w:cs="Arial"/>
                <w:b/>
                <w:bCs/>
                <w:color w:val="000000"/>
                <w:sz w:val="16"/>
                <w:szCs w:val="16"/>
                <w:lang w:val="en-GB" w:eastAsia="en-GB"/>
              </w:rPr>
              <w:t>Serotype group</w:t>
            </w:r>
            <w:r w:rsidR="006F2AA8" w:rsidRPr="006F2AA8">
              <w:rPr>
                <w:rFonts w:ascii="Arial" w:eastAsia="Times New Roman" w:hAnsi="Arial" w:cs="Arial"/>
                <w:b/>
                <w:bCs/>
                <w:color w:val="000000"/>
                <w:sz w:val="16"/>
                <w:szCs w:val="16"/>
                <w:vertAlign w:val="superscript"/>
                <w:lang w:val="en-GB" w:eastAsia="en-GB"/>
              </w:rPr>
              <w:t>a</w:t>
            </w:r>
            <w:r w:rsidRPr="00307721">
              <w:rPr>
                <w:rFonts w:ascii="Arial" w:eastAsia="Times New Roman" w:hAnsi="Arial" w:cs="Arial"/>
                <w:b/>
                <w:bCs/>
                <w:color w:val="000000"/>
                <w:sz w:val="16"/>
                <w:szCs w:val="16"/>
                <w:lang w:val="en-GB" w:eastAsia="en-GB"/>
              </w:rPr>
              <w:t xml:space="preserve"> (N=3,168)</w:t>
            </w:r>
          </w:p>
        </w:tc>
        <w:tc>
          <w:tcPr>
            <w:tcW w:w="1559" w:type="dxa"/>
            <w:tcBorders>
              <w:top w:val="nil"/>
              <w:left w:val="nil"/>
              <w:bottom w:val="nil"/>
              <w:right w:val="single" w:sz="4" w:space="0" w:color="auto"/>
            </w:tcBorders>
            <w:shd w:val="clear" w:color="auto" w:fill="auto"/>
            <w:noWrap/>
            <w:vAlign w:val="center"/>
            <w:hideMark/>
          </w:tcPr>
          <w:p w14:paraId="725722D8" w14:textId="1A1076E9"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p>
        </w:tc>
        <w:tc>
          <w:tcPr>
            <w:tcW w:w="1276" w:type="dxa"/>
            <w:tcBorders>
              <w:top w:val="nil"/>
              <w:left w:val="single" w:sz="4" w:space="0" w:color="auto"/>
              <w:bottom w:val="nil"/>
              <w:right w:val="nil"/>
            </w:tcBorders>
            <w:shd w:val="clear" w:color="auto" w:fill="auto"/>
            <w:noWrap/>
            <w:vAlign w:val="center"/>
            <w:hideMark/>
          </w:tcPr>
          <w:p w14:paraId="13E0A6EB" w14:textId="04AE91DA"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p>
        </w:tc>
        <w:tc>
          <w:tcPr>
            <w:tcW w:w="626" w:type="dxa"/>
            <w:tcBorders>
              <w:top w:val="nil"/>
              <w:left w:val="nil"/>
              <w:bottom w:val="nil"/>
              <w:right w:val="single" w:sz="4" w:space="0" w:color="auto"/>
            </w:tcBorders>
            <w:shd w:val="clear" w:color="auto" w:fill="auto"/>
            <w:noWrap/>
            <w:vAlign w:val="center"/>
            <w:hideMark/>
          </w:tcPr>
          <w:p w14:paraId="2C702EF5" w14:textId="381E1D6E"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p>
        </w:tc>
        <w:tc>
          <w:tcPr>
            <w:tcW w:w="1358" w:type="dxa"/>
            <w:tcBorders>
              <w:top w:val="nil"/>
              <w:left w:val="single" w:sz="4" w:space="0" w:color="auto"/>
              <w:bottom w:val="nil"/>
              <w:right w:val="nil"/>
            </w:tcBorders>
            <w:shd w:val="clear" w:color="auto" w:fill="auto"/>
            <w:noWrap/>
            <w:vAlign w:val="center"/>
            <w:hideMark/>
          </w:tcPr>
          <w:p w14:paraId="66C63F93" w14:textId="765BD881"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p>
        </w:tc>
        <w:tc>
          <w:tcPr>
            <w:tcW w:w="626" w:type="dxa"/>
            <w:tcBorders>
              <w:top w:val="nil"/>
              <w:left w:val="nil"/>
              <w:bottom w:val="nil"/>
              <w:right w:val="single" w:sz="4" w:space="0" w:color="auto"/>
            </w:tcBorders>
            <w:shd w:val="clear" w:color="auto" w:fill="auto"/>
            <w:noWrap/>
            <w:vAlign w:val="center"/>
            <w:hideMark/>
          </w:tcPr>
          <w:p w14:paraId="5E81CAAF" w14:textId="3C8DBB02"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p>
        </w:tc>
      </w:tr>
      <w:tr w:rsidR="00307721" w:rsidRPr="00307721" w14:paraId="5700A7D5" w14:textId="77777777" w:rsidTr="00307721">
        <w:trPr>
          <w:trHeight w:val="300"/>
        </w:trPr>
        <w:tc>
          <w:tcPr>
            <w:tcW w:w="1560" w:type="dxa"/>
            <w:tcBorders>
              <w:top w:val="nil"/>
              <w:left w:val="nil"/>
              <w:bottom w:val="nil"/>
              <w:right w:val="nil"/>
            </w:tcBorders>
            <w:shd w:val="clear" w:color="auto" w:fill="auto"/>
            <w:noWrap/>
            <w:vAlign w:val="bottom"/>
            <w:hideMark/>
          </w:tcPr>
          <w:p w14:paraId="0382FA28" w14:textId="77777777" w:rsidR="00307721" w:rsidRPr="00307721" w:rsidRDefault="00307721" w:rsidP="00307721">
            <w:pPr>
              <w:spacing w:after="0" w:line="240" w:lineRule="auto"/>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 xml:space="preserve">  Non-PCV13</w:t>
            </w:r>
          </w:p>
        </w:tc>
        <w:tc>
          <w:tcPr>
            <w:tcW w:w="1559" w:type="dxa"/>
            <w:tcBorders>
              <w:top w:val="nil"/>
              <w:left w:val="nil"/>
              <w:bottom w:val="nil"/>
              <w:right w:val="nil"/>
            </w:tcBorders>
            <w:shd w:val="clear" w:color="auto" w:fill="auto"/>
            <w:noWrap/>
            <w:vAlign w:val="center"/>
            <w:hideMark/>
          </w:tcPr>
          <w:p w14:paraId="52C37240" w14:textId="706CF431" w:rsidR="00307721" w:rsidRPr="00307721" w:rsidRDefault="000D0CB5"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684/927 (74</w:t>
            </w:r>
            <w:r w:rsidR="00307721" w:rsidRPr="00307721">
              <w:rPr>
                <w:rFonts w:ascii="Arial" w:eastAsia="Times New Roman" w:hAnsi="Arial" w:cs="Arial"/>
                <w:color w:val="000000"/>
                <w:sz w:val="16"/>
                <w:szCs w:val="16"/>
                <w:lang w:val="en-GB" w:eastAsia="en-GB"/>
              </w:rPr>
              <w:t>)</w:t>
            </w:r>
          </w:p>
        </w:tc>
        <w:tc>
          <w:tcPr>
            <w:tcW w:w="1559" w:type="dxa"/>
            <w:tcBorders>
              <w:top w:val="nil"/>
              <w:left w:val="nil"/>
              <w:bottom w:val="nil"/>
              <w:right w:val="single" w:sz="4" w:space="0" w:color="auto"/>
            </w:tcBorders>
            <w:shd w:val="clear" w:color="auto" w:fill="auto"/>
            <w:noWrap/>
            <w:vAlign w:val="center"/>
            <w:hideMark/>
          </w:tcPr>
          <w:p w14:paraId="2F02D10D" w14:textId="57126597" w:rsidR="00307721" w:rsidRPr="00307721" w:rsidRDefault="000D0CB5"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1,429/2,241 (64</w:t>
            </w:r>
            <w:r w:rsidR="00307721" w:rsidRPr="00307721">
              <w:rPr>
                <w:rFonts w:ascii="Arial" w:eastAsia="Times New Roman" w:hAnsi="Arial" w:cs="Arial"/>
                <w:color w:val="000000"/>
                <w:sz w:val="16"/>
                <w:szCs w:val="16"/>
                <w:lang w:val="en-GB" w:eastAsia="en-GB"/>
              </w:rPr>
              <w:t>)</w:t>
            </w:r>
          </w:p>
        </w:tc>
        <w:tc>
          <w:tcPr>
            <w:tcW w:w="1276" w:type="dxa"/>
            <w:tcBorders>
              <w:top w:val="nil"/>
              <w:left w:val="single" w:sz="4" w:space="0" w:color="auto"/>
              <w:bottom w:val="nil"/>
              <w:right w:val="nil"/>
            </w:tcBorders>
            <w:shd w:val="clear" w:color="auto" w:fill="auto"/>
            <w:noWrap/>
            <w:vAlign w:val="center"/>
            <w:hideMark/>
          </w:tcPr>
          <w:p w14:paraId="1A1AA45C"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1.6 (1.3-1.9)</w:t>
            </w:r>
          </w:p>
        </w:tc>
        <w:tc>
          <w:tcPr>
            <w:tcW w:w="626" w:type="dxa"/>
            <w:tcBorders>
              <w:top w:val="nil"/>
              <w:left w:val="nil"/>
              <w:bottom w:val="nil"/>
              <w:right w:val="single" w:sz="4" w:space="0" w:color="auto"/>
            </w:tcBorders>
            <w:shd w:val="clear" w:color="auto" w:fill="auto"/>
            <w:noWrap/>
            <w:vAlign w:val="center"/>
            <w:hideMark/>
          </w:tcPr>
          <w:p w14:paraId="0B201F96"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&lt;0.01</w:t>
            </w:r>
          </w:p>
        </w:tc>
        <w:tc>
          <w:tcPr>
            <w:tcW w:w="1358" w:type="dxa"/>
            <w:tcBorders>
              <w:top w:val="nil"/>
              <w:left w:val="single" w:sz="4" w:space="0" w:color="auto"/>
              <w:bottom w:val="nil"/>
              <w:right w:val="nil"/>
            </w:tcBorders>
            <w:shd w:val="clear" w:color="auto" w:fill="auto"/>
            <w:noWrap/>
            <w:vAlign w:val="center"/>
            <w:hideMark/>
          </w:tcPr>
          <w:p w14:paraId="6A687FE0"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1.6 (1.3-2.0)</w:t>
            </w:r>
          </w:p>
        </w:tc>
        <w:tc>
          <w:tcPr>
            <w:tcW w:w="626" w:type="dxa"/>
            <w:tcBorders>
              <w:top w:val="nil"/>
              <w:left w:val="nil"/>
              <w:bottom w:val="nil"/>
              <w:right w:val="single" w:sz="4" w:space="0" w:color="auto"/>
            </w:tcBorders>
            <w:shd w:val="clear" w:color="auto" w:fill="auto"/>
            <w:noWrap/>
            <w:vAlign w:val="center"/>
            <w:hideMark/>
          </w:tcPr>
          <w:p w14:paraId="45FEB208"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&lt;0.01</w:t>
            </w:r>
          </w:p>
        </w:tc>
      </w:tr>
      <w:tr w:rsidR="00307721" w:rsidRPr="00307721" w14:paraId="78DF38C6" w14:textId="77777777" w:rsidTr="00307721">
        <w:trPr>
          <w:trHeight w:val="300"/>
        </w:trPr>
        <w:tc>
          <w:tcPr>
            <w:tcW w:w="1560" w:type="dxa"/>
            <w:tcBorders>
              <w:top w:val="nil"/>
              <w:left w:val="nil"/>
              <w:bottom w:val="nil"/>
              <w:right w:val="nil"/>
            </w:tcBorders>
            <w:shd w:val="clear" w:color="auto" w:fill="auto"/>
            <w:noWrap/>
            <w:vAlign w:val="bottom"/>
            <w:hideMark/>
          </w:tcPr>
          <w:p w14:paraId="4F3388CB" w14:textId="77777777" w:rsidR="00307721" w:rsidRPr="00307721" w:rsidRDefault="00307721" w:rsidP="00307721">
            <w:pPr>
              <w:spacing w:after="0" w:line="240" w:lineRule="auto"/>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 xml:space="preserve">  PCV13</w:t>
            </w:r>
          </w:p>
        </w:tc>
        <w:tc>
          <w:tcPr>
            <w:tcW w:w="1559" w:type="dxa"/>
            <w:tcBorders>
              <w:top w:val="nil"/>
              <w:left w:val="nil"/>
              <w:bottom w:val="nil"/>
              <w:right w:val="nil"/>
            </w:tcBorders>
            <w:shd w:val="clear" w:color="auto" w:fill="auto"/>
            <w:noWrap/>
            <w:vAlign w:val="center"/>
            <w:hideMark/>
          </w:tcPr>
          <w:p w14:paraId="0713BB9A" w14:textId="7745BED8" w:rsidR="00307721" w:rsidRPr="00307721" w:rsidRDefault="000D0CB5"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243/927 (26</w:t>
            </w:r>
            <w:r w:rsidR="00307721" w:rsidRPr="00307721">
              <w:rPr>
                <w:rFonts w:ascii="Arial" w:eastAsia="Times New Roman" w:hAnsi="Arial" w:cs="Arial"/>
                <w:color w:val="000000"/>
                <w:sz w:val="16"/>
                <w:szCs w:val="16"/>
                <w:lang w:val="en-GB" w:eastAsia="en-GB"/>
              </w:rPr>
              <w:t>)</w:t>
            </w:r>
          </w:p>
        </w:tc>
        <w:tc>
          <w:tcPr>
            <w:tcW w:w="1559" w:type="dxa"/>
            <w:tcBorders>
              <w:top w:val="nil"/>
              <w:left w:val="nil"/>
              <w:bottom w:val="nil"/>
              <w:right w:val="single" w:sz="4" w:space="0" w:color="auto"/>
            </w:tcBorders>
            <w:shd w:val="clear" w:color="auto" w:fill="auto"/>
            <w:noWrap/>
            <w:vAlign w:val="center"/>
            <w:hideMark/>
          </w:tcPr>
          <w:p w14:paraId="1B10ACFC" w14:textId="5A59D231" w:rsidR="00307721" w:rsidRPr="00307721" w:rsidRDefault="000D0CB5"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812/2,241 (36</w:t>
            </w:r>
            <w:r w:rsidR="00307721" w:rsidRPr="00307721">
              <w:rPr>
                <w:rFonts w:ascii="Arial" w:eastAsia="Times New Roman" w:hAnsi="Arial" w:cs="Arial"/>
                <w:color w:val="000000"/>
                <w:sz w:val="16"/>
                <w:szCs w:val="16"/>
                <w:lang w:val="en-GB" w:eastAsia="en-GB"/>
              </w:rPr>
              <w:t>)</w:t>
            </w:r>
          </w:p>
        </w:tc>
        <w:tc>
          <w:tcPr>
            <w:tcW w:w="1276" w:type="dxa"/>
            <w:tcBorders>
              <w:top w:val="nil"/>
              <w:left w:val="single" w:sz="4" w:space="0" w:color="auto"/>
              <w:bottom w:val="nil"/>
              <w:right w:val="nil"/>
            </w:tcBorders>
            <w:shd w:val="clear" w:color="auto" w:fill="auto"/>
            <w:noWrap/>
            <w:vAlign w:val="center"/>
            <w:hideMark/>
          </w:tcPr>
          <w:p w14:paraId="69C8EF33" w14:textId="77777777"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Reference</w:t>
            </w:r>
          </w:p>
        </w:tc>
        <w:tc>
          <w:tcPr>
            <w:tcW w:w="626" w:type="dxa"/>
            <w:tcBorders>
              <w:top w:val="nil"/>
              <w:left w:val="nil"/>
              <w:bottom w:val="nil"/>
              <w:right w:val="single" w:sz="4" w:space="0" w:color="auto"/>
            </w:tcBorders>
            <w:shd w:val="clear" w:color="auto" w:fill="auto"/>
            <w:noWrap/>
            <w:vAlign w:val="center"/>
            <w:hideMark/>
          </w:tcPr>
          <w:p w14:paraId="5C8D6572" w14:textId="03720F72"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w:t>
            </w:r>
          </w:p>
        </w:tc>
        <w:tc>
          <w:tcPr>
            <w:tcW w:w="1358" w:type="dxa"/>
            <w:tcBorders>
              <w:top w:val="nil"/>
              <w:left w:val="single" w:sz="4" w:space="0" w:color="auto"/>
              <w:bottom w:val="nil"/>
              <w:right w:val="nil"/>
            </w:tcBorders>
            <w:shd w:val="clear" w:color="auto" w:fill="auto"/>
            <w:noWrap/>
            <w:vAlign w:val="center"/>
            <w:hideMark/>
          </w:tcPr>
          <w:p w14:paraId="3779B229" w14:textId="77777777"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Reference</w:t>
            </w:r>
          </w:p>
        </w:tc>
        <w:tc>
          <w:tcPr>
            <w:tcW w:w="626" w:type="dxa"/>
            <w:tcBorders>
              <w:top w:val="nil"/>
              <w:left w:val="nil"/>
              <w:bottom w:val="nil"/>
              <w:right w:val="single" w:sz="4" w:space="0" w:color="auto"/>
            </w:tcBorders>
            <w:shd w:val="clear" w:color="auto" w:fill="auto"/>
            <w:noWrap/>
            <w:vAlign w:val="center"/>
            <w:hideMark/>
          </w:tcPr>
          <w:p w14:paraId="52B4B060" w14:textId="2181C444"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w:t>
            </w:r>
          </w:p>
        </w:tc>
      </w:tr>
      <w:tr w:rsidR="00307721" w:rsidRPr="00307721" w14:paraId="4240911F" w14:textId="77777777" w:rsidTr="00307721">
        <w:trPr>
          <w:trHeight w:val="300"/>
        </w:trPr>
        <w:tc>
          <w:tcPr>
            <w:tcW w:w="4678" w:type="dxa"/>
            <w:gridSpan w:val="3"/>
            <w:tcBorders>
              <w:top w:val="nil"/>
              <w:left w:val="nil"/>
              <w:bottom w:val="nil"/>
              <w:right w:val="single" w:sz="4" w:space="0" w:color="auto"/>
            </w:tcBorders>
            <w:shd w:val="clear" w:color="auto" w:fill="auto"/>
            <w:noWrap/>
            <w:vAlign w:val="center"/>
            <w:hideMark/>
          </w:tcPr>
          <w:p w14:paraId="0F4E63B2" w14:textId="2855AA5B" w:rsidR="00307721" w:rsidRPr="00307721" w:rsidRDefault="00307721" w:rsidP="00307721">
            <w:pPr>
              <w:spacing w:after="0" w:line="240" w:lineRule="auto"/>
              <w:rPr>
                <w:rFonts w:ascii="Arial" w:eastAsia="Times New Roman" w:hAnsi="Arial" w:cs="Arial"/>
                <w:color w:val="000000"/>
                <w:sz w:val="16"/>
                <w:szCs w:val="16"/>
                <w:lang w:val="en-GB" w:eastAsia="en-GB"/>
              </w:rPr>
            </w:pPr>
            <w:r w:rsidRPr="00307721">
              <w:rPr>
                <w:rFonts w:ascii="Arial" w:eastAsia="Times New Roman" w:hAnsi="Arial" w:cs="Arial"/>
                <w:b/>
                <w:bCs/>
                <w:color w:val="000000"/>
                <w:sz w:val="16"/>
                <w:szCs w:val="16"/>
                <w:lang w:val="en-GB" w:eastAsia="en-GB"/>
              </w:rPr>
              <w:t>Duration of hospital stay (N=3,627)</w:t>
            </w:r>
          </w:p>
        </w:tc>
        <w:tc>
          <w:tcPr>
            <w:tcW w:w="1276" w:type="dxa"/>
            <w:tcBorders>
              <w:top w:val="nil"/>
              <w:left w:val="single" w:sz="4" w:space="0" w:color="auto"/>
              <w:bottom w:val="nil"/>
              <w:right w:val="nil"/>
            </w:tcBorders>
            <w:shd w:val="clear" w:color="auto" w:fill="auto"/>
            <w:noWrap/>
            <w:vAlign w:val="center"/>
            <w:hideMark/>
          </w:tcPr>
          <w:p w14:paraId="4D534D66" w14:textId="26C5FC08"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p>
        </w:tc>
        <w:tc>
          <w:tcPr>
            <w:tcW w:w="626" w:type="dxa"/>
            <w:tcBorders>
              <w:top w:val="nil"/>
              <w:left w:val="nil"/>
              <w:bottom w:val="nil"/>
              <w:right w:val="single" w:sz="4" w:space="0" w:color="auto"/>
            </w:tcBorders>
            <w:shd w:val="clear" w:color="auto" w:fill="auto"/>
            <w:noWrap/>
            <w:vAlign w:val="center"/>
            <w:hideMark/>
          </w:tcPr>
          <w:p w14:paraId="0FCD2291" w14:textId="14627F7F"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p>
        </w:tc>
        <w:tc>
          <w:tcPr>
            <w:tcW w:w="1358" w:type="dxa"/>
            <w:tcBorders>
              <w:top w:val="nil"/>
              <w:left w:val="single" w:sz="4" w:space="0" w:color="auto"/>
              <w:bottom w:val="nil"/>
              <w:right w:val="nil"/>
            </w:tcBorders>
            <w:shd w:val="clear" w:color="auto" w:fill="auto"/>
            <w:noWrap/>
            <w:vAlign w:val="center"/>
            <w:hideMark/>
          </w:tcPr>
          <w:p w14:paraId="4BB3C65A" w14:textId="21C1F4A5"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p>
        </w:tc>
        <w:tc>
          <w:tcPr>
            <w:tcW w:w="626" w:type="dxa"/>
            <w:tcBorders>
              <w:top w:val="nil"/>
              <w:left w:val="nil"/>
              <w:bottom w:val="nil"/>
              <w:right w:val="single" w:sz="4" w:space="0" w:color="auto"/>
            </w:tcBorders>
            <w:shd w:val="clear" w:color="auto" w:fill="auto"/>
            <w:noWrap/>
            <w:vAlign w:val="center"/>
            <w:hideMark/>
          </w:tcPr>
          <w:p w14:paraId="4ACD54F1" w14:textId="28D318B0"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p>
        </w:tc>
      </w:tr>
      <w:tr w:rsidR="00307721" w:rsidRPr="00307721" w14:paraId="1BB50FB0" w14:textId="77777777" w:rsidTr="00307721">
        <w:trPr>
          <w:trHeight w:val="300"/>
        </w:trPr>
        <w:tc>
          <w:tcPr>
            <w:tcW w:w="1560" w:type="dxa"/>
            <w:tcBorders>
              <w:top w:val="nil"/>
              <w:left w:val="nil"/>
              <w:bottom w:val="nil"/>
              <w:right w:val="nil"/>
            </w:tcBorders>
            <w:shd w:val="clear" w:color="auto" w:fill="auto"/>
            <w:noWrap/>
            <w:vAlign w:val="bottom"/>
            <w:hideMark/>
          </w:tcPr>
          <w:p w14:paraId="420C177F" w14:textId="77777777" w:rsidR="00307721" w:rsidRPr="00307721" w:rsidRDefault="00307721" w:rsidP="00307721">
            <w:pPr>
              <w:spacing w:after="0" w:line="240" w:lineRule="auto"/>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 xml:space="preserve">  0 – 5 days</w:t>
            </w:r>
          </w:p>
        </w:tc>
        <w:tc>
          <w:tcPr>
            <w:tcW w:w="1559" w:type="dxa"/>
            <w:tcBorders>
              <w:top w:val="nil"/>
              <w:left w:val="nil"/>
              <w:bottom w:val="nil"/>
              <w:right w:val="nil"/>
            </w:tcBorders>
            <w:shd w:val="clear" w:color="auto" w:fill="auto"/>
            <w:noWrap/>
            <w:vAlign w:val="center"/>
            <w:hideMark/>
          </w:tcPr>
          <w:p w14:paraId="64EE36AE" w14:textId="79913A39" w:rsidR="00307721" w:rsidRPr="00307721" w:rsidRDefault="00307721" w:rsidP="000D0CB5">
            <w:pPr>
              <w:spacing w:after="0" w:line="240" w:lineRule="auto"/>
              <w:jc w:val="center"/>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357/</w:t>
            </w:r>
            <w:r w:rsidR="000D0CB5">
              <w:rPr>
                <w:rFonts w:ascii="Arial" w:eastAsia="Times New Roman" w:hAnsi="Arial" w:cs="Arial"/>
                <w:color w:val="000000"/>
                <w:sz w:val="16"/>
                <w:szCs w:val="16"/>
                <w:lang w:val="en-GB" w:eastAsia="en-GB"/>
              </w:rPr>
              <w:t>1,046</w:t>
            </w:r>
            <w:r w:rsidRPr="00307721">
              <w:rPr>
                <w:rFonts w:ascii="Arial" w:eastAsia="Times New Roman" w:hAnsi="Arial" w:cs="Arial"/>
                <w:color w:val="000000"/>
                <w:sz w:val="16"/>
                <w:szCs w:val="16"/>
                <w:lang w:val="en-GB" w:eastAsia="en-GB"/>
              </w:rPr>
              <w:t xml:space="preserve"> (</w:t>
            </w:r>
            <w:r w:rsidR="000D0CB5">
              <w:rPr>
                <w:rFonts w:ascii="Arial" w:eastAsia="Times New Roman" w:hAnsi="Arial" w:cs="Arial"/>
                <w:color w:val="000000"/>
                <w:sz w:val="16"/>
                <w:szCs w:val="16"/>
                <w:lang w:val="en-GB" w:eastAsia="en-GB"/>
              </w:rPr>
              <w:t>34</w:t>
            </w:r>
            <w:r w:rsidRPr="00307721">
              <w:rPr>
                <w:rFonts w:ascii="Arial" w:eastAsia="Times New Roman" w:hAnsi="Arial" w:cs="Arial"/>
                <w:color w:val="000000"/>
                <w:sz w:val="16"/>
                <w:szCs w:val="16"/>
                <w:lang w:val="en-GB" w:eastAsia="en-GB"/>
              </w:rPr>
              <w:t>)</w:t>
            </w:r>
          </w:p>
        </w:tc>
        <w:tc>
          <w:tcPr>
            <w:tcW w:w="1559" w:type="dxa"/>
            <w:tcBorders>
              <w:top w:val="nil"/>
              <w:left w:val="nil"/>
              <w:bottom w:val="nil"/>
              <w:right w:val="single" w:sz="4" w:space="0" w:color="auto"/>
            </w:tcBorders>
            <w:shd w:val="clear" w:color="auto" w:fill="auto"/>
            <w:noWrap/>
            <w:vAlign w:val="center"/>
            <w:hideMark/>
          </w:tcPr>
          <w:p w14:paraId="21B49F5C" w14:textId="50D8ADD1"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1</w:t>
            </w:r>
            <w:r w:rsidR="000D0CB5">
              <w:rPr>
                <w:rFonts w:ascii="Arial" w:eastAsia="Times New Roman" w:hAnsi="Arial" w:cs="Arial"/>
                <w:color w:val="000000"/>
                <w:sz w:val="16"/>
                <w:szCs w:val="16"/>
                <w:lang w:val="en-GB" w:eastAsia="en-GB"/>
              </w:rPr>
              <w:t>,079/2,581 (42</w:t>
            </w:r>
            <w:r w:rsidRPr="00307721">
              <w:rPr>
                <w:rFonts w:ascii="Arial" w:eastAsia="Times New Roman" w:hAnsi="Arial" w:cs="Arial"/>
                <w:color w:val="000000"/>
                <w:sz w:val="16"/>
                <w:szCs w:val="16"/>
                <w:lang w:val="en-GB" w:eastAsia="en-GB"/>
              </w:rPr>
              <w:t>)</w:t>
            </w:r>
          </w:p>
        </w:tc>
        <w:tc>
          <w:tcPr>
            <w:tcW w:w="1276" w:type="dxa"/>
            <w:tcBorders>
              <w:top w:val="nil"/>
              <w:left w:val="single" w:sz="4" w:space="0" w:color="auto"/>
              <w:bottom w:val="nil"/>
              <w:right w:val="nil"/>
            </w:tcBorders>
            <w:shd w:val="clear" w:color="auto" w:fill="auto"/>
            <w:noWrap/>
            <w:vAlign w:val="center"/>
            <w:hideMark/>
          </w:tcPr>
          <w:p w14:paraId="29524059" w14:textId="77777777"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Reference</w:t>
            </w:r>
          </w:p>
        </w:tc>
        <w:tc>
          <w:tcPr>
            <w:tcW w:w="626" w:type="dxa"/>
            <w:tcBorders>
              <w:top w:val="nil"/>
              <w:left w:val="nil"/>
              <w:bottom w:val="nil"/>
              <w:right w:val="single" w:sz="4" w:space="0" w:color="auto"/>
            </w:tcBorders>
            <w:shd w:val="clear" w:color="auto" w:fill="auto"/>
            <w:noWrap/>
            <w:vAlign w:val="center"/>
            <w:hideMark/>
          </w:tcPr>
          <w:p w14:paraId="537B6B73" w14:textId="33BEBA69"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w:t>
            </w:r>
          </w:p>
        </w:tc>
        <w:tc>
          <w:tcPr>
            <w:tcW w:w="1358" w:type="dxa"/>
            <w:tcBorders>
              <w:top w:val="nil"/>
              <w:left w:val="single" w:sz="4" w:space="0" w:color="auto"/>
              <w:bottom w:val="nil"/>
              <w:right w:val="nil"/>
            </w:tcBorders>
            <w:shd w:val="clear" w:color="auto" w:fill="auto"/>
            <w:noWrap/>
            <w:vAlign w:val="center"/>
            <w:hideMark/>
          </w:tcPr>
          <w:p w14:paraId="40D601CE" w14:textId="77777777"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Reference</w:t>
            </w:r>
          </w:p>
        </w:tc>
        <w:tc>
          <w:tcPr>
            <w:tcW w:w="626" w:type="dxa"/>
            <w:tcBorders>
              <w:top w:val="nil"/>
              <w:left w:val="nil"/>
              <w:bottom w:val="nil"/>
              <w:right w:val="single" w:sz="4" w:space="0" w:color="auto"/>
            </w:tcBorders>
            <w:shd w:val="clear" w:color="auto" w:fill="auto"/>
            <w:noWrap/>
            <w:vAlign w:val="center"/>
            <w:hideMark/>
          </w:tcPr>
          <w:p w14:paraId="6D100C4E" w14:textId="4765EC34"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w:t>
            </w:r>
          </w:p>
        </w:tc>
      </w:tr>
      <w:tr w:rsidR="00307721" w:rsidRPr="00307721" w14:paraId="680CC17B" w14:textId="77777777" w:rsidTr="00307721">
        <w:trPr>
          <w:trHeight w:val="300"/>
        </w:trPr>
        <w:tc>
          <w:tcPr>
            <w:tcW w:w="1560" w:type="dxa"/>
            <w:tcBorders>
              <w:top w:val="nil"/>
              <w:left w:val="nil"/>
              <w:bottom w:val="nil"/>
              <w:right w:val="nil"/>
            </w:tcBorders>
            <w:shd w:val="clear" w:color="auto" w:fill="auto"/>
            <w:noWrap/>
            <w:vAlign w:val="bottom"/>
            <w:hideMark/>
          </w:tcPr>
          <w:p w14:paraId="0C279674" w14:textId="77777777" w:rsidR="00307721" w:rsidRPr="00307721" w:rsidRDefault="00307721" w:rsidP="00307721">
            <w:pPr>
              <w:spacing w:after="0" w:line="240" w:lineRule="auto"/>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 xml:space="preserve">  ≥6  days</w:t>
            </w:r>
          </w:p>
        </w:tc>
        <w:tc>
          <w:tcPr>
            <w:tcW w:w="1559" w:type="dxa"/>
            <w:tcBorders>
              <w:top w:val="nil"/>
              <w:left w:val="nil"/>
              <w:bottom w:val="nil"/>
              <w:right w:val="nil"/>
            </w:tcBorders>
            <w:shd w:val="clear" w:color="auto" w:fill="auto"/>
            <w:noWrap/>
            <w:vAlign w:val="center"/>
            <w:hideMark/>
          </w:tcPr>
          <w:p w14:paraId="65C38680" w14:textId="2DD38584" w:rsidR="00307721" w:rsidRPr="00307721" w:rsidRDefault="00307721" w:rsidP="000D0CB5">
            <w:pPr>
              <w:spacing w:after="0" w:line="240" w:lineRule="auto"/>
              <w:jc w:val="center"/>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689/</w:t>
            </w:r>
            <w:r w:rsidR="000D0CB5">
              <w:rPr>
                <w:rFonts w:ascii="Arial" w:eastAsia="Times New Roman" w:hAnsi="Arial" w:cs="Arial"/>
                <w:color w:val="000000"/>
                <w:sz w:val="16"/>
                <w:szCs w:val="16"/>
                <w:lang w:val="en-GB" w:eastAsia="en-GB"/>
              </w:rPr>
              <w:t>1,046</w:t>
            </w:r>
            <w:r w:rsidRPr="00307721">
              <w:rPr>
                <w:rFonts w:ascii="Arial" w:eastAsia="Times New Roman" w:hAnsi="Arial" w:cs="Arial"/>
                <w:color w:val="000000"/>
                <w:sz w:val="16"/>
                <w:szCs w:val="16"/>
                <w:lang w:val="en-GB" w:eastAsia="en-GB"/>
              </w:rPr>
              <w:t xml:space="preserve"> (</w:t>
            </w:r>
            <w:r w:rsidR="000D0CB5">
              <w:rPr>
                <w:rFonts w:ascii="Arial" w:eastAsia="Times New Roman" w:hAnsi="Arial" w:cs="Arial"/>
                <w:color w:val="000000"/>
                <w:sz w:val="16"/>
                <w:szCs w:val="16"/>
                <w:lang w:val="en-GB" w:eastAsia="en-GB"/>
              </w:rPr>
              <w:t>66</w:t>
            </w:r>
            <w:r w:rsidRPr="00307721">
              <w:rPr>
                <w:rFonts w:ascii="Arial" w:eastAsia="Times New Roman" w:hAnsi="Arial" w:cs="Arial"/>
                <w:color w:val="000000"/>
                <w:sz w:val="16"/>
                <w:szCs w:val="16"/>
                <w:lang w:val="en-GB" w:eastAsia="en-GB"/>
              </w:rPr>
              <w:t>)</w:t>
            </w:r>
          </w:p>
        </w:tc>
        <w:tc>
          <w:tcPr>
            <w:tcW w:w="1559" w:type="dxa"/>
            <w:tcBorders>
              <w:top w:val="nil"/>
              <w:left w:val="nil"/>
              <w:bottom w:val="nil"/>
              <w:right w:val="single" w:sz="4" w:space="0" w:color="auto"/>
            </w:tcBorders>
            <w:shd w:val="clear" w:color="auto" w:fill="auto"/>
            <w:noWrap/>
            <w:vAlign w:val="center"/>
            <w:hideMark/>
          </w:tcPr>
          <w:p w14:paraId="190BDCB4" w14:textId="432C9A17"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1</w:t>
            </w:r>
            <w:r w:rsidR="000D0CB5">
              <w:rPr>
                <w:rFonts w:ascii="Arial" w:eastAsia="Times New Roman" w:hAnsi="Arial" w:cs="Arial"/>
                <w:color w:val="000000"/>
                <w:sz w:val="16"/>
                <w:szCs w:val="16"/>
                <w:lang w:val="en-GB" w:eastAsia="en-GB"/>
              </w:rPr>
              <w:t>,502/2,581 (58</w:t>
            </w:r>
            <w:r w:rsidRPr="00307721">
              <w:rPr>
                <w:rFonts w:ascii="Arial" w:eastAsia="Times New Roman" w:hAnsi="Arial" w:cs="Arial"/>
                <w:color w:val="000000"/>
                <w:sz w:val="16"/>
                <w:szCs w:val="16"/>
                <w:lang w:val="en-GB" w:eastAsia="en-GB"/>
              </w:rPr>
              <w:t>)</w:t>
            </w:r>
          </w:p>
        </w:tc>
        <w:tc>
          <w:tcPr>
            <w:tcW w:w="1276" w:type="dxa"/>
            <w:tcBorders>
              <w:top w:val="nil"/>
              <w:left w:val="single" w:sz="4" w:space="0" w:color="auto"/>
              <w:bottom w:val="nil"/>
              <w:right w:val="nil"/>
            </w:tcBorders>
            <w:shd w:val="clear" w:color="auto" w:fill="auto"/>
            <w:noWrap/>
            <w:vAlign w:val="center"/>
            <w:hideMark/>
          </w:tcPr>
          <w:p w14:paraId="771EB70F"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1.4 (1.2-1.6)</w:t>
            </w:r>
          </w:p>
        </w:tc>
        <w:tc>
          <w:tcPr>
            <w:tcW w:w="626" w:type="dxa"/>
            <w:tcBorders>
              <w:top w:val="nil"/>
              <w:left w:val="nil"/>
              <w:bottom w:val="nil"/>
              <w:right w:val="single" w:sz="4" w:space="0" w:color="auto"/>
            </w:tcBorders>
            <w:shd w:val="clear" w:color="auto" w:fill="auto"/>
            <w:noWrap/>
            <w:vAlign w:val="center"/>
            <w:hideMark/>
          </w:tcPr>
          <w:p w14:paraId="7061BA33"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&lt;0.01</w:t>
            </w:r>
          </w:p>
        </w:tc>
        <w:tc>
          <w:tcPr>
            <w:tcW w:w="1358" w:type="dxa"/>
            <w:tcBorders>
              <w:top w:val="nil"/>
              <w:left w:val="single" w:sz="4" w:space="0" w:color="auto"/>
              <w:bottom w:val="nil"/>
              <w:right w:val="nil"/>
            </w:tcBorders>
            <w:shd w:val="clear" w:color="auto" w:fill="auto"/>
            <w:noWrap/>
            <w:vAlign w:val="center"/>
            <w:hideMark/>
          </w:tcPr>
          <w:p w14:paraId="70312B30"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3.2 (2.4-4.2)</w:t>
            </w:r>
          </w:p>
        </w:tc>
        <w:tc>
          <w:tcPr>
            <w:tcW w:w="626" w:type="dxa"/>
            <w:tcBorders>
              <w:top w:val="nil"/>
              <w:left w:val="nil"/>
              <w:bottom w:val="nil"/>
              <w:right w:val="single" w:sz="4" w:space="0" w:color="auto"/>
            </w:tcBorders>
            <w:shd w:val="clear" w:color="auto" w:fill="auto"/>
            <w:noWrap/>
            <w:vAlign w:val="center"/>
            <w:hideMark/>
          </w:tcPr>
          <w:p w14:paraId="2952C999"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&lt;0.01</w:t>
            </w:r>
          </w:p>
        </w:tc>
      </w:tr>
      <w:tr w:rsidR="00307721" w:rsidRPr="00307721" w14:paraId="6B2365DC" w14:textId="77777777" w:rsidTr="00307721">
        <w:trPr>
          <w:trHeight w:val="300"/>
        </w:trPr>
        <w:tc>
          <w:tcPr>
            <w:tcW w:w="4678" w:type="dxa"/>
            <w:gridSpan w:val="3"/>
            <w:tcBorders>
              <w:top w:val="nil"/>
              <w:left w:val="nil"/>
              <w:bottom w:val="nil"/>
              <w:right w:val="single" w:sz="4" w:space="0" w:color="auto"/>
            </w:tcBorders>
            <w:shd w:val="clear" w:color="auto" w:fill="auto"/>
            <w:noWrap/>
            <w:vAlign w:val="center"/>
            <w:hideMark/>
          </w:tcPr>
          <w:p w14:paraId="099FDC1C" w14:textId="36465D00" w:rsidR="00307721" w:rsidRPr="00307721" w:rsidRDefault="00307721" w:rsidP="00CF32A2">
            <w:pPr>
              <w:spacing w:after="0" w:line="240" w:lineRule="auto"/>
              <w:rPr>
                <w:rFonts w:ascii="Arial" w:eastAsia="Times New Roman" w:hAnsi="Arial" w:cs="Arial"/>
                <w:color w:val="000000"/>
                <w:sz w:val="16"/>
                <w:szCs w:val="16"/>
                <w:lang w:val="en-GB" w:eastAsia="en-GB"/>
              </w:rPr>
            </w:pPr>
            <w:r w:rsidRPr="00307721">
              <w:rPr>
                <w:rFonts w:ascii="Arial" w:eastAsia="Times New Roman" w:hAnsi="Arial" w:cs="Arial"/>
                <w:b/>
                <w:bCs/>
                <w:color w:val="000000"/>
                <w:sz w:val="16"/>
                <w:szCs w:val="16"/>
                <w:lang w:val="en-GB" w:eastAsia="en-GB"/>
              </w:rPr>
              <w:t>Pre-disposing conditions</w:t>
            </w:r>
            <w:r w:rsidR="006F2AA8">
              <w:rPr>
                <w:rFonts w:ascii="Arial" w:eastAsia="Times New Roman" w:hAnsi="Arial" w:cs="Arial"/>
                <w:b/>
                <w:bCs/>
                <w:color w:val="000000"/>
                <w:sz w:val="16"/>
                <w:szCs w:val="16"/>
                <w:vertAlign w:val="superscript"/>
                <w:lang w:val="en-GB" w:eastAsia="en-GB"/>
              </w:rPr>
              <w:t>b</w:t>
            </w:r>
            <w:r w:rsidRPr="00307721">
              <w:rPr>
                <w:rFonts w:ascii="Arial" w:eastAsia="Times New Roman" w:hAnsi="Arial" w:cs="Arial"/>
                <w:b/>
                <w:bCs/>
                <w:color w:val="000000"/>
                <w:sz w:val="16"/>
                <w:szCs w:val="16"/>
                <w:lang w:val="en-GB" w:eastAsia="en-GB"/>
              </w:rPr>
              <w:t xml:space="preserve"> (N=3,856)</w:t>
            </w:r>
          </w:p>
        </w:tc>
        <w:tc>
          <w:tcPr>
            <w:tcW w:w="1276" w:type="dxa"/>
            <w:tcBorders>
              <w:top w:val="nil"/>
              <w:left w:val="single" w:sz="4" w:space="0" w:color="auto"/>
              <w:bottom w:val="nil"/>
              <w:right w:val="nil"/>
            </w:tcBorders>
            <w:shd w:val="clear" w:color="auto" w:fill="auto"/>
            <w:noWrap/>
            <w:vAlign w:val="center"/>
            <w:hideMark/>
          </w:tcPr>
          <w:p w14:paraId="54CBD2FF" w14:textId="1A0702FE"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p>
        </w:tc>
        <w:tc>
          <w:tcPr>
            <w:tcW w:w="626" w:type="dxa"/>
            <w:tcBorders>
              <w:top w:val="nil"/>
              <w:left w:val="nil"/>
              <w:bottom w:val="nil"/>
              <w:right w:val="single" w:sz="4" w:space="0" w:color="auto"/>
            </w:tcBorders>
            <w:shd w:val="clear" w:color="auto" w:fill="auto"/>
            <w:noWrap/>
            <w:vAlign w:val="center"/>
            <w:hideMark/>
          </w:tcPr>
          <w:p w14:paraId="2A6A5CA6" w14:textId="1A0A7AAE"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p>
        </w:tc>
        <w:tc>
          <w:tcPr>
            <w:tcW w:w="1358" w:type="dxa"/>
            <w:tcBorders>
              <w:top w:val="nil"/>
              <w:left w:val="single" w:sz="4" w:space="0" w:color="auto"/>
              <w:bottom w:val="nil"/>
              <w:right w:val="nil"/>
            </w:tcBorders>
            <w:shd w:val="clear" w:color="auto" w:fill="auto"/>
            <w:noWrap/>
            <w:vAlign w:val="center"/>
            <w:hideMark/>
          </w:tcPr>
          <w:p w14:paraId="4D71283E" w14:textId="1F1125BA"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p>
        </w:tc>
        <w:tc>
          <w:tcPr>
            <w:tcW w:w="626" w:type="dxa"/>
            <w:tcBorders>
              <w:top w:val="nil"/>
              <w:left w:val="nil"/>
              <w:bottom w:val="nil"/>
              <w:right w:val="single" w:sz="4" w:space="0" w:color="auto"/>
            </w:tcBorders>
            <w:shd w:val="clear" w:color="auto" w:fill="auto"/>
            <w:noWrap/>
            <w:vAlign w:val="center"/>
            <w:hideMark/>
          </w:tcPr>
          <w:p w14:paraId="0921A77F" w14:textId="6FE1131B"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p>
        </w:tc>
      </w:tr>
      <w:tr w:rsidR="00307721" w:rsidRPr="00307721" w14:paraId="69D6CB2F" w14:textId="77777777" w:rsidTr="00307721">
        <w:trPr>
          <w:trHeight w:val="300"/>
        </w:trPr>
        <w:tc>
          <w:tcPr>
            <w:tcW w:w="1560" w:type="dxa"/>
            <w:tcBorders>
              <w:top w:val="nil"/>
              <w:left w:val="nil"/>
              <w:bottom w:val="nil"/>
              <w:right w:val="nil"/>
            </w:tcBorders>
            <w:shd w:val="clear" w:color="auto" w:fill="auto"/>
            <w:noWrap/>
            <w:vAlign w:val="bottom"/>
            <w:hideMark/>
          </w:tcPr>
          <w:p w14:paraId="4807A800" w14:textId="77777777" w:rsidR="00307721" w:rsidRPr="00307721" w:rsidRDefault="00307721" w:rsidP="00307721">
            <w:pPr>
              <w:spacing w:after="0" w:line="240" w:lineRule="auto"/>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 xml:space="preserve">  Absent</w:t>
            </w:r>
          </w:p>
        </w:tc>
        <w:tc>
          <w:tcPr>
            <w:tcW w:w="1559" w:type="dxa"/>
            <w:tcBorders>
              <w:top w:val="nil"/>
              <w:left w:val="nil"/>
              <w:bottom w:val="nil"/>
              <w:right w:val="nil"/>
            </w:tcBorders>
            <w:shd w:val="clear" w:color="auto" w:fill="auto"/>
            <w:noWrap/>
            <w:vAlign w:val="center"/>
            <w:hideMark/>
          </w:tcPr>
          <w:p w14:paraId="68C4E43C" w14:textId="37C933F4" w:rsidR="00307721" w:rsidRPr="00307721" w:rsidRDefault="000D0CB5"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894/1,100 (81</w:t>
            </w:r>
            <w:r w:rsidR="00307721" w:rsidRPr="00307721">
              <w:rPr>
                <w:rFonts w:ascii="Arial" w:eastAsia="Times New Roman" w:hAnsi="Arial" w:cs="Arial"/>
                <w:color w:val="000000"/>
                <w:sz w:val="16"/>
                <w:szCs w:val="16"/>
                <w:lang w:val="en-GB" w:eastAsia="en-GB"/>
              </w:rPr>
              <w:t>)</w:t>
            </w:r>
          </w:p>
        </w:tc>
        <w:tc>
          <w:tcPr>
            <w:tcW w:w="1559" w:type="dxa"/>
            <w:tcBorders>
              <w:top w:val="nil"/>
              <w:left w:val="nil"/>
              <w:bottom w:val="nil"/>
              <w:right w:val="single" w:sz="4" w:space="0" w:color="auto"/>
            </w:tcBorders>
            <w:shd w:val="clear" w:color="auto" w:fill="auto"/>
            <w:noWrap/>
            <w:vAlign w:val="center"/>
            <w:hideMark/>
          </w:tcPr>
          <w:p w14:paraId="6474C2A3" w14:textId="6FDCD17B" w:rsidR="00307721" w:rsidRPr="00307721" w:rsidRDefault="000D0CB5"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1,785/2,706 (66</w:t>
            </w:r>
            <w:r w:rsidR="00307721" w:rsidRPr="00307721">
              <w:rPr>
                <w:rFonts w:ascii="Arial" w:eastAsia="Times New Roman" w:hAnsi="Arial" w:cs="Arial"/>
                <w:color w:val="000000"/>
                <w:sz w:val="16"/>
                <w:szCs w:val="16"/>
                <w:lang w:val="en-GB" w:eastAsia="en-GB"/>
              </w:rPr>
              <w:t>)</w:t>
            </w:r>
          </w:p>
        </w:tc>
        <w:tc>
          <w:tcPr>
            <w:tcW w:w="1276" w:type="dxa"/>
            <w:tcBorders>
              <w:top w:val="nil"/>
              <w:left w:val="single" w:sz="4" w:space="0" w:color="auto"/>
              <w:bottom w:val="nil"/>
              <w:right w:val="nil"/>
            </w:tcBorders>
            <w:shd w:val="clear" w:color="auto" w:fill="auto"/>
            <w:noWrap/>
            <w:vAlign w:val="center"/>
            <w:hideMark/>
          </w:tcPr>
          <w:p w14:paraId="6E5BD62E" w14:textId="77777777"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Reference</w:t>
            </w:r>
          </w:p>
        </w:tc>
        <w:tc>
          <w:tcPr>
            <w:tcW w:w="626" w:type="dxa"/>
            <w:tcBorders>
              <w:top w:val="nil"/>
              <w:left w:val="nil"/>
              <w:bottom w:val="nil"/>
              <w:right w:val="single" w:sz="4" w:space="0" w:color="auto"/>
            </w:tcBorders>
            <w:shd w:val="clear" w:color="auto" w:fill="auto"/>
            <w:noWrap/>
            <w:vAlign w:val="center"/>
            <w:hideMark/>
          </w:tcPr>
          <w:p w14:paraId="5434A349" w14:textId="40BB0E77"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w:t>
            </w:r>
          </w:p>
        </w:tc>
        <w:tc>
          <w:tcPr>
            <w:tcW w:w="1358" w:type="dxa"/>
            <w:tcBorders>
              <w:top w:val="nil"/>
              <w:left w:val="single" w:sz="4" w:space="0" w:color="auto"/>
              <w:bottom w:val="nil"/>
              <w:right w:val="nil"/>
            </w:tcBorders>
            <w:shd w:val="clear" w:color="auto" w:fill="auto"/>
            <w:noWrap/>
            <w:vAlign w:val="center"/>
            <w:hideMark/>
          </w:tcPr>
          <w:p w14:paraId="02691C09" w14:textId="77777777"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Reference</w:t>
            </w:r>
          </w:p>
        </w:tc>
        <w:tc>
          <w:tcPr>
            <w:tcW w:w="626" w:type="dxa"/>
            <w:tcBorders>
              <w:top w:val="nil"/>
              <w:left w:val="nil"/>
              <w:bottom w:val="nil"/>
              <w:right w:val="single" w:sz="4" w:space="0" w:color="auto"/>
            </w:tcBorders>
            <w:shd w:val="clear" w:color="auto" w:fill="auto"/>
            <w:noWrap/>
            <w:vAlign w:val="center"/>
            <w:hideMark/>
          </w:tcPr>
          <w:p w14:paraId="15654A0E" w14:textId="30D3BFB9"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w:t>
            </w:r>
          </w:p>
        </w:tc>
      </w:tr>
      <w:tr w:rsidR="00307721" w:rsidRPr="00307721" w14:paraId="309FD8F7" w14:textId="77777777" w:rsidTr="00307721">
        <w:trPr>
          <w:trHeight w:val="300"/>
        </w:trPr>
        <w:tc>
          <w:tcPr>
            <w:tcW w:w="1560" w:type="dxa"/>
            <w:tcBorders>
              <w:top w:val="nil"/>
              <w:left w:val="nil"/>
              <w:bottom w:val="nil"/>
              <w:right w:val="nil"/>
            </w:tcBorders>
            <w:shd w:val="clear" w:color="auto" w:fill="auto"/>
            <w:noWrap/>
            <w:vAlign w:val="bottom"/>
            <w:hideMark/>
          </w:tcPr>
          <w:p w14:paraId="703DC195" w14:textId="77777777" w:rsidR="00307721" w:rsidRPr="00307721" w:rsidRDefault="00307721" w:rsidP="00307721">
            <w:pPr>
              <w:spacing w:after="0" w:line="240" w:lineRule="auto"/>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 xml:space="preserve">  Present</w:t>
            </w:r>
          </w:p>
        </w:tc>
        <w:tc>
          <w:tcPr>
            <w:tcW w:w="1559" w:type="dxa"/>
            <w:tcBorders>
              <w:top w:val="nil"/>
              <w:left w:val="nil"/>
              <w:bottom w:val="nil"/>
              <w:right w:val="nil"/>
            </w:tcBorders>
            <w:shd w:val="clear" w:color="auto" w:fill="auto"/>
            <w:noWrap/>
            <w:vAlign w:val="center"/>
            <w:hideMark/>
          </w:tcPr>
          <w:p w14:paraId="0C386678" w14:textId="2EC694F6" w:rsidR="00307721" w:rsidRPr="00307721" w:rsidRDefault="000D0CB5"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206/1,100 (19</w:t>
            </w:r>
            <w:r w:rsidR="00307721" w:rsidRPr="00307721">
              <w:rPr>
                <w:rFonts w:ascii="Arial" w:eastAsia="Times New Roman" w:hAnsi="Arial" w:cs="Arial"/>
                <w:color w:val="000000"/>
                <w:sz w:val="16"/>
                <w:szCs w:val="16"/>
                <w:lang w:val="en-GB" w:eastAsia="en-GB"/>
              </w:rPr>
              <w:t>)</w:t>
            </w:r>
          </w:p>
        </w:tc>
        <w:tc>
          <w:tcPr>
            <w:tcW w:w="1559" w:type="dxa"/>
            <w:tcBorders>
              <w:top w:val="nil"/>
              <w:left w:val="nil"/>
              <w:bottom w:val="nil"/>
              <w:right w:val="single" w:sz="4" w:space="0" w:color="auto"/>
            </w:tcBorders>
            <w:shd w:val="clear" w:color="auto" w:fill="auto"/>
            <w:noWrap/>
            <w:vAlign w:val="center"/>
            <w:hideMark/>
          </w:tcPr>
          <w:p w14:paraId="6ABFCE73" w14:textId="40F86A46" w:rsidR="00307721" w:rsidRPr="00307721" w:rsidRDefault="000D0CB5"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921/2,706 (34</w:t>
            </w:r>
            <w:r w:rsidR="00307721" w:rsidRPr="00307721">
              <w:rPr>
                <w:rFonts w:ascii="Arial" w:eastAsia="Times New Roman" w:hAnsi="Arial" w:cs="Arial"/>
                <w:color w:val="000000"/>
                <w:sz w:val="16"/>
                <w:szCs w:val="16"/>
                <w:lang w:val="en-GB" w:eastAsia="en-GB"/>
              </w:rPr>
              <w:t>)</w:t>
            </w:r>
          </w:p>
        </w:tc>
        <w:tc>
          <w:tcPr>
            <w:tcW w:w="1276" w:type="dxa"/>
            <w:tcBorders>
              <w:top w:val="nil"/>
              <w:left w:val="single" w:sz="4" w:space="0" w:color="auto"/>
              <w:bottom w:val="nil"/>
              <w:right w:val="nil"/>
            </w:tcBorders>
            <w:shd w:val="clear" w:color="auto" w:fill="auto"/>
            <w:noWrap/>
            <w:vAlign w:val="center"/>
            <w:hideMark/>
          </w:tcPr>
          <w:p w14:paraId="5B600F35"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0.4 (0.4-0.5)</w:t>
            </w:r>
          </w:p>
        </w:tc>
        <w:tc>
          <w:tcPr>
            <w:tcW w:w="626" w:type="dxa"/>
            <w:tcBorders>
              <w:top w:val="nil"/>
              <w:left w:val="nil"/>
              <w:bottom w:val="nil"/>
              <w:right w:val="single" w:sz="4" w:space="0" w:color="auto"/>
            </w:tcBorders>
            <w:shd w:val="clear" w:color="auto" w:fill="auto"/>
            <w:noWrap/>
            <w:vAlign w:val="center"/>
            <w:hideMark/>
          </w:tcPr>
          <w:p w14:paraId="0F3440A5"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&lt;0.01</w:t>
            </w:r>
          </w:p>
        </w:tc>
        <w:tc>
          <w:tcPr>
            <w:tcW w:w="1358" w:type="dxa"/>
            <w:tcBorders>
              <w:top w:val="nil"/>
              <w:left w:val="single" w:sz="4" w:space="0" w:color="auto"/>
              <w:bottom w:val="nil"/>
              <w:right w:val="nil"/>
            </w:tcBorders>
            <w:shd w:val="clear" w:color="auto" w:fill="auto"/>
            <w:noWrap/>
            <w:vAlign w:val="center"/>
            <w:hideMark/>
          </w:tcPr>
          <w:p w14:paraId="62A0ABFE"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0.4 (0.3-0.6)</w:t>
            </w:r>
          </w:p>
        </w:tc>
        <w:tc>
          <w:tcPr>
            <w:tcW w:w="626" w:type="dxa"/>
            <w:tcBorders>
              <w:top w:val="nil"/>
              <w:left w:val="nil"/>
              <w:bottom w:val="nil"/>
              <w:right w:val="single" w:sz="4" w:space="0" w:color="auto"/>
            </w:tcBorders>
            <w:shd w:val="clear" w:color="auto" w:fill="auto"/>
            <w:noWrap/>
            <w:vAlign w:val="center"/>
            <w:hideMark/>
          </w:tcPr>
          <w:p w14:paraId="48F31600"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&lt;0.01</w:t>
            </w:r>
          </w:p>
        </w:tc>
      </w:tr>
      <w:tr w:rsidR="00307721" w:rsidRPr="00307721" w14:paraId="60DF61AE" w14:textId="77777777" w:rsidTr="00307721">
        <w:trPr>
          <w:trHeight w:val="300"/>
        </w:trPr>
        <w:tc>
          <w:tcPr>
            <w:tcW w:w="3119" w:type="dxa"/>
            <w:gridSpan w:val="2"/>
            <w:tcBorders>
              <w:top w:val="nil"/>
              <w:left w:val="nil"/>
              <w:bottom w:val="nil"/>
              <w:right w:val="nil"/>
            </w:tcBorders>
            <w:shd w:val="clear" w:color="auto" w:fill="auto"/>
            <w:noWrap/>
            <w:vAlign w:val="center"/>
            <w:hideMark/>
          </w:tcPr>
          <w:p w14:paraId="3837F40B" w14:textId="303F2137" w:rsidR="00307721" w:rsidRPr="00307721" w:rsidRDefault="00307721" w:rsidP="00307721">
            <w:pPr>
              <w:spacing w:after="0" w:line="240" w:lineRule="auto"/>
              <w:rPr>
                <w:rFonts w:ascii="Arial" w:eastAsia="Times New Roman" w:hAnsi="Arial" w:cs="Arial"/>
                <w:color w:val="000000"/>
                <w:sz w:val="16"/>
                <w:szCs w:val="16"/>
                <w:lang w:val="en-GB" w:eastAsia="en-GB"/>
              </w:rPr>
            </w:pPr>
            <w:r w:rsidRPr="00307721">
              <w:rPr>
                <w:rFonts w:ascii="Arial" w:eastAsia="Times New Roman" w:hAnsi="Arial" w:cs="Arial"/>
                <w:b/>
                <w:bCs/>
                <w:color w:val="000000"/>
                <w:sz w:val="16"/>
                <w:szCs w:val="16"/>
                <w:lang w:val="en-GB" w:eastAsia="en-GB"/>
              </w:rPr>
              <w:t>Smoking (N=3,923)</w:t>
            </w:r>
          </w:p>
        </w:tc>
        <w:tc>
          <w:tcPr>
            <w:tcW w:w="1559" w:type="dxa"/>
            <w:tcBorders>
              <w:top w:val="nil"/>
              <w:left w:val="nil"/>
              <w:bottom w:val="nil"/>
              <w:right w:val="single" w:sz="4" w:space="0" w:color="auto"/>
            </w:tcBorders>
            <w:shd w:val="clear" w:color="auto" w:fill="auto"/>
            <w:noWrap/>
            <w:vAlign w:val="center"/>
            <w:hideMark/>
          </w:tcPr>
          <w:p w14:paraId="559A1DD7" w14:textId="49B8F38E"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p>
        </w:tc>
        <w:tc>
          <w:tcPr>
            <w:tcW w:w="1276" w:type="dxa"/>
            <w:tcBorders>
              <w:top w:val="nil"/>
              <w:left w:val="single" w:sz="4" w:space="0" w:color="auto"/>
              <w:bottom w:val="nil"/>
              <w:right w:val="nil"/>
            </w:tcBorders>
            <w:shd w:val="clear" w:color="auto" w:fill="auto"/>
            <w:noWrap/>
            <w:vAlign w:val="center"/>
            <w:hideMark/>
          </w:tcPr>
          <w:p w14:paraId="1477A4C3" w14:textId="57645C83"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p>
        </w:tc>
        <w:tc>
          <w:tcPr>
            <w:tcW w:w="626" w:type="dxa"/>
            <w:tcBorders>
              <w:top w:val="nil"/>
              <w:left w:val="nil"/>
              <w:bottom w:val="nil"/>
              <w:right w:val="single" w:sz="4" w:space="0" w:color="auto"/>
            </w:tcBorders>
            <w:shd w:val="clear" w:color="auto" w:fill="auto"/>
            <w:noWrap/>
            <w:vAlign w:val="center"/>
            <w:hideMark/>
          </w:tcPr>
          <w:p w14:paraId="4CF896A5" w14:textId="403DE3D5"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p>
        </w:tc>
        <w:tc>
          <w:tcPr>
            <w:tcW w:w="1358" w:type="dxa"/>
            <w:tcBorders>
              <w:top w:val="nil"/>
              <w:left w:val="single" w:sz="4" w:space="0" w:color="auto"/>
              <w:bottom w:val="nil"/>
              <w:right w:val="nil"/>
            </w:tcBorders>
            <w:shd w:val="clear" w:color="auto" w:fill="auto"/>
            <w:noWrap/>
            <w:vAlign w:val="center"/>
            <w:hideMark/>
          </w:tcPr>
          <w:p w14:paraId="77B80E8E" w14:textId="215A3ED8"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p>
        </w:tc>
        <w:tc>
          <w:tcPr>
            <w:tcW w:w="626" w:type="dxa"/>
            <w:tcBorders>
              <w:top w:val="nil"/>
              <w:left w:val="nil"/>
              <w:bottom w:val="nil"/>
              <w:right w:val="single" w:sz="4" w:space="0" w:color="auto"/>
            </w:tcBorders>
            <w:shd w:val="clear" w:color="auto" w:fill="auto"/>
            <w:noWrap/>
            <w:vAlign w:val="center"/>
            <w:hideMark/>
          </w:tcPr>
          <w:p w14:paraId="6B135CE3" w14:textId="1E299D7E"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p>
        </w:tc>
      </w:tr>
      <w:tr w:rsidR="00307721" w:rsidRPr="00307721" w14:paraId="155C9324" w14:textId="77777777" w:rsidTr="00307721">
        <w:trPr>
          <w:trHeight w:val="300"/>
        </w:trPr>
        <w:tc>
          <w:tcPr>
            <w:tcW w:w="1560" w:type="dxa"/>
            <w:tcBorders>
              <w:top w:val="nil"/>
              <w:left w:val="nil"/>
              <w:bottom w:val="nil"/>
              <w:right w:val="nil"/>
            </w:tcBorders>
            <w:shd w:val="clear" w:color="auto" w:fill="auto"/>
            <w:noWrap/>
            <w:vAlign w:val="bottom"/>
            <w:hideMark/>
          </w:tcPr>
          <w:p w14:paraId="74B33BBB" w14:textId="77777777" w:rsidR="00307721" w:rsidRPr="00307721" w:rsidRDefault="00307721" w:rsidP="00307721">
            <w:pPr>
              <w:spacing w:after="0" w:line="240" w:lineRule="auto"/>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 xml:space="preserve">  No</w:t>
            </w:r>
          </w:p>
        </w:tc>
        <w:tc>
          <w:tcPr>
            <w:tcW w:w="1559" w:type="dxa"/>
            <w:tcBorders>
              <w:top w:val="nil"/>
              <w:left w:val="nil"/>
              <w:bottom w:val="nil"/>
              <w:right w:val="nil"/>
            </w:tcBorders>
            <w:shd w:val="clear" w:color="auto" w:fill="auto"/>
            <w:noWrap/>
            <w:vAlign w:val="center"/>
            <w:hideMark/>
          </w:tcPr>
          <w:p w14:paraId="1B0767E0" w14:textId="016538BF" w:rsidR="00307721" w:rsidRPr="00307721" w:rsidRDefault="00900813"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1,045/1,148 (91</w:t>
            </w:r>
            <w:r w:rsidR="00307721" w:rsidRPr="00307721">
              <w:rPr>
                <w:rFonts w:ascii="Arial" w:eastAsia="Times New Roman" w:hAnsi="Arial" w:cs="Arial"/>
                <w:color w:val="000000"/>
                <w:sz w:val="16"/>
                <w:szCs w:val="16"/>
                <w:lang w:val="en-GB" w:eastAsia="en-GB"/>
              </w:rPr>
              <w:t>)</w:t>
            </w:r>
          </w:p>
        </w:tc>
        <w:tc>
          <w:tcPr>
            <w:tcW w:w="1559" w:type="dxa"/>
            <w:tcBorders>
              <w:top w:val="nil"/>
              <w:left w:val="nil"/>
              <w:bottom w:val="nil"/>
              <w:right w:val="single" w:sz="4" w:space="0" w:color="auto"/>
            </w:tcBorders>
            <w:shd w:val="clear" w:color="auto" w:fill="auto"/>
            <w:noWrap/>
            <w:vAlign w:val="center"/>
            <w:hideMark/>
          </w:tcPr>
          <w:p w14:paraId="0628C86E" w14:textId="1D2F94F3" w:rsidR="00307721" w:rsidRPr="00307721" w:rsidRDefault="00900813"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2,444/2,775 (88</w:t>
            </w:r>
            <w:r w:rsidR="00307721" w:rsidRPr="00307721">
              <w:rPr>
                <w:rFonts w:ascii="Arial" w:eastAsia="Times New Roman" w:hAnsi="Arial" w:cs="Arial"/>
                <w:color w:val="000000"/>
                <w:sz w:val="16"/>
                <w:szCs w:val="16"/>
                <w:lang w:val="en-GB" w:eastAsia="en-GB"/>
              </w:rPr>
              <w:t>)</w:t>
            </w:r>
          </w:p>
        </w:tc>
        <w:tc>
          <w:tcPr>
            <w:tcW w:w="1276" w:type="dxa"/>
            <w:tcBorders>
              <w:top w:val="nil"/>
              <w:left w:val="single" w:sz="4" w:space="0" w:color="auto"/>
              <w:bottom w:val="nil"/>
              <w:right w:val="nil"/>
            </w:tcBorders>
            <w:shd w:val="clear" w:color="auto" w:fill="auto"/>
            <w:noWrap/>
            <w:vAlign w:val="center"/>
            <w:hideMark/>
          </w:tcPr>
          <w:p w14:paraId="659DE572" w14:textId="77777777"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Reference</w:t>
            </w:r>
          </w:p>
        </w:tc>
        <w:tc>
          <w:tcPr>
            <w:tcW w:w="626" w:type="dxa"/>
            <w:tcBorders>
              <w:top w:val="nil"/>
              <w:left w:val="nil"/>
              <w:bottom w:val="nil"/>
              <w:right w:val="single" w:sz="4" w:space="0" w:color="auto"/>
            </w:tcBorders>
            <w:shd w:val="clear" w:color="auto" w:fill="auto"/>
            <w:noWrap/>
            <w:vAlign w:val="center"/>
            <w:hideMark/>
          </w:tcPr>
          <w:p w14:paraId="75783D2C" w14:textId="57DAF093"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w:t>
            </w:r>
          </w:p>
        </w:tc>
        <w:tc>
          <w:tcPr>
            <w:tcW w:w="1358" w:type="dxa"/>
            <w:tcBorders>
              <w:top w:val="nil"/>
              <w:left w:val="single" w:sz="4" w:space="0" w:color="auto"/>
              <w:bottom w:val="nil"/>
              <w:right w:val="nil"/>
            </w:tcBorders>
            <w:shd w:val="clear" w:color="auto" w:fill="auto"/>
            <w:noWrap/>
            <w:vAlign w:val="center"/>
            <w:hideMark/>
          </w:tcPr>
          <w:p w14:paraId="20CFBD5E" w14:textId="61D60302"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w:t>
            </w:r>
          </w:p>
        </w:tc>
        <w:tc>
          <w:tcPr>
            <w:tcW w:w="626" w:type="dxa"/>
            <w:tcBorders>
              <w:top w:val="nil"/>
              <w:left w:val="nil"/>
              <w:bottom w:val="nil"/>
              <w:right w:val="single" w:sz="4" w:space="0" w:color="auto"/>
            </w:tcBorders>
            <w:shd w:val="clear" w:color="auto" w:fill="auto"/>
            <w:noWrap/>
            <w:vAlign w:val="center"/>
            <w:hideMark/>
          </w:tcPr>
          <w:p w14:paraId="5CA086B4" w14:textId="48B5E538"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w:t>
            </w:r>
          </w:p>
        </w:tc>
      </w:tr>
      <w:tr w:rsidR="00307721" w:rsidRPr="00307721" w14:paraId="42231373" w14:textId="77777777" w:rsidTr="00307721">
        <w:trPr>
          <w:trHeight w:val="300"/>
        </w:trPr>
        <w:tc>
          <w:tcPr>
            <w:tcW w:w="1560" w:type="dxa"/>
            <w:tcBorders>
              <w:top w:val="nil"/>
              <w:left w:val="nil"/>
              <w:bottom w:val="nil"/>
              <w:right w:val="nil"/>
            </w:tcBorders>
            <w:shd w:val="clear" w:color="auto" w:fill="auto"/>
            <w:noWrap/>
            <w:vAlign w:val="bottom"/>
            <w:hideMark/>
          </w:tcPr>
          <w:p w14:paraId="1B858733" w14:textId="77777777" w:rsidR="00307721" w:rsidRPr="00307721" w:rsidRDefault="00307721" w:rsidP="00307721">
            <w:pPr>
              <w:spacing w:after="0" w:line="240" w:lineRule="auto"/>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 xml:space="preserve">  Yes</w:t>
            </w:r>
          </w:p>
        </w:tc>
        <w:tc>
          <w:tcPr>
            <w:tcW w:w="1559" w:type="dxa"/>
            <w:tcBorders>
              <w:top w:val="nil"/>
              <w:left w:val="nil"/>
              <w:bottom w:val="nil"/>
              <w:right w:val="nil"/>
            </w:tcBorders>
            <w:shd w:val="clear" w:color="auto" w:fill="auto"/>
            <w:noWrap/>
            <w:vAlign w:val="center"/>
            <w:hideMark/>
          </w:tcPr>
          <w:p w14:paraId="6CA06F10" w14:textId="431A6622" w:rsidR="00307721" w:rsidRPr="00307721" w:rsidRDefault="00900813"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103/1,148 (9</w:t>
            </w:r>
            <w:r w:rsidR="00307721" w:rsidRPr="00307721">
              <w:rPr>
                <w:rFonts w:ascii="Arial" w:eastAsia="Times New Roman" w:hAnsi="Arial" w:cs="Arial"/>
                <w:color w:val="000000"/>
                <w:sz w:val="16"/>
                <w:szCs w:val="16"/>
                <w:lang w:val="en-GB" w:eastAsia="en-GB"/>
              </w:rPr>
              <w:t>)</w:t>
            </w:r>
          </w:p>
        </w:tc>
        <w:tc>
          <w:tcPr>
            <w:tcW w:w="1559" w:type="dxa"/>
            <w:tcBorders>
              <w:top w:val="nil"/>
              <w:left w:val="nil"/>
              <w:bottom w:val="nil"/>
              <w:right w:val="single" w:sz="4" w:space="0" w:color="auto"/>
            </w:tcBorders>
            <w:shd w:val="clear" w:color="auto" w:fill="auto"/>
            <w:noWrap/>
            <w:vAlign w:val="center"/>
            <w:hideMark/>
          </w:tcPr>
          <w:p w14:paraId="61D1BA36" w14:textId="2974D872" w:rsidR="00307721" w:rsidRPr="00307721" w:rsidRDefault="00900813"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331/2,775 (12</w:t>
            </w:r>
            <w:r w:rsidR="00307721" w:rsidRPr="00307721">
              <w:rPr>
                <w:rFonts w:ascii="Arial" w:eastAsia="Times New Roman" w:hAnsi="Arial" w:cs="Arial"/>
                <w:color w:val="000000"/>
                <w:sz w:val="16"/>
                <w:szCs w:val="16"/>
                <w:lang w:val="en-GB" w:eastAsia="en-GB"/>
              </w:rPr>
              <w:t>)</w:t>
            </w:r>
          </w:p>
        </w:tc>
        <w:tc>
          <w:tcPr>
            <w:tcW w:w="1276" w:type="dxa"/>
            <w:tcBorders>
              <w:top w:val="nil"/>
              <w:left w:val="single" w:sz="4" w:space="0" w:color="auto"/>
              <w:bottom w:val="nil"/>
              <w:right w:val="nil"/>
            </w:tcBorders>
            <w:shd w:val="clear" w:color="auto" w:fill="auto"/>
            <w:noWrap/>
            <w:vAlign w:val="center"/>
            <w:hideMark/>
          </w:tcPr>
          <w:p w14:paraId="45E19E21"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0.7 (0.6-0.9)</w:t>
            </w:r>
          </w:p>
        </w:tc>
        <w:tc>
          <w:tcPr>
            <w:tcW w:w="626" w:type="dxa"/>
            <w:tcBorders>
              <w:top w:val="nil"/>
              <w:left w:val="nil"/>
              <w:bottom w:val="nil"/>
              <w:right w:val="single" w:sz="4" w:space="0" w:color="auto"/>
            </w:tcBorders>
            <w:shd w:val="clear" w:color="auto" w:fill="auto"/>
            <w:noWrap/>
            <w:vAlign w:val="center"/>
            <w:hideMark/>
          </w:tcPr>
          <w:p w14:paraId="7B7C4322"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0.01</w:t>
            </w:r>
          </w:p>
        </w:tc>
        <w:tc>
          <w:tcPr>
            <w:tcW w:w="1358" w:type="dxa"/>
            <w:tcBorders>
              <w:top w:val="nil"/>
              <w:left w:val="single" w:sz="4" w:space="0" w:color="auto"/>
              <w:bottom w:val="nil"/>
              <w:right w:val="nil"/>
            </w:tcBorders>
            <w:shd w:val="clear" w:color="auto" w:fill="auto"/>
            <w:noWrap/>
            <w:vAlign w:val="center"/>
            <w:hideMark/>
          </w:tcPr>
          <w:p w14:paraId="692865D0"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0.7 (0.5-1.0)</w:t>
            </w:r>
          </w:p>
        </w:tc>
        <w:tc>
          <w:tcPr>
            <w:tcW w:w="626" w:type="dxa"/>
            <w:tcBorders>
              <w:top w:val="nil"/>
              <w:left w:val="nil"/>
              <w:bottom w:val="nil"/>
              <w:right w:val="single" w:sz="4" w:space="0" w:color="auto"/>
            </w:tcBorders>
            <w:shd w:val="clear" w:color="auto" w:fill="auto"/>
            <w:noWrap/>
            <w:vAlign w:val="center"/>
            <w:hideMark/>
          </w:tcPr>
          <w:p w14:paraId="4DD6BD25"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0.03</w:t>
            </w:r>
          </w:p>
        </w:tc>
      </w:tr>
      <w:tr w:rsidR="00307721" w:rsidRPr="00307721" w14:paraId="60D64720" w14:textId="77777777" w:rsidTr="00307721">
        <w:trPr>
          <w:trHeight w:val="300"/>
        </w:trPr>
        <w:tc>
          <w:tcPr>
            <w:tcW w:w="4678" w:type="dxa"/>
            <w:gridSpan w:val="3"/>
            <w:tcBorders>
              <w:top w:val="nil"/>
              <w:left w:val="nil"/>
              <w:bottom w:val="nil"/>
              <w:right w:val="single" w:sz="4" w:space="0" w:color="auto"/>
            </w:tcBorders>
            <w:shd w:val="clear" w:color="auto" w:fill="auto"/>
            <w:noWrap/>
            <w:vAlign w:val="center"/>
            <w:hideMark/>
          </w:tcPr>
          <w:p w14:paraId="0CEE6100" w14:textId="0C737549" w:rsidR="00307721" w:rsidRPr="00307721" w:rsidRDefault="00307721" w:rsidP="00307721">
            <w:pPr>
              <w:spacing w:after="0" w:line="240" w:lineRule="auto"/>
              <w:rPr>
                <w:rFonts w:ascii="Arial" w:eastAsia="Times New Roman" w:hAnsi="Arial" w:cs="Arial"/>
                <w:color w:val="000000"/>
                <w:sz w:val="16"/>
                <w:szCs w:val="16"/>
                <w:lang w:val="en-GB" w:eastAsia="en-GB"/>
              </w:rPr>
            </w:pPr>
            <w:r w:rsidRPr="00307721">
              <w:rPr>
                <w:rFonts w:ascii="Arial" w:eastAsia="Times New Roman" w:hAnsi="Arial" w:cs="Arial"/>
                <w:b/>
                <w:bCs/>
                <w:color w:val="000000"/>
                <w:sz w:val="16"/>
                <w:szCs w:val="16"/>
                <w:lang w:val="en-GB" w:eastAsia="en-GB"/>
              </w:rPr>
              <w:t>Antibiotic use 24 hours prior to admission (N=2,995)</w:t>
            </w:r>
          </w:p>
        </w:tc>
        <w:tc>
          <w:tcPr>
            <w:tcW w:w="1276" w:type="dxa"/>
            <w:tcBorders>
              <w:top w:val="nil"/>
              <w:left w:val="single" w:sz="4" w:space="0" w:color="auto"/>
              <w:bottom w:val="nil"/>
              <w:right w:val="nil"/>
            </w:tcBorders>
            <w:shd w:val="clear" w:color="auto" w:fill="auto"/>
            <w:noWrap/>
            <w:vAlign w:val="center"/>
            <w:hideMark/>
          </w:tcPr>
          <w:p w14:paraId="300BFC04" w14:textId="4613EA2E"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p>
        </w:tc>
        <w:tc>
          <w:tcPr>
            <w:tcW w:w="626" w:type="dxa"/>
            <w:tcBorders>
              <w:top w:val="nil"/>
              <w:left w:val="nil"/>
              <w:bottom w:val="nil"/>
              <w:right w:val="single" w:sz="4" w:space="0" w:color="auto"/>
            </w:tcBorders>
            <w:shd w:val="clear" w:color="auto" w:fill="auto"/>
            <w:noWrap/>
            <w:vAlign w:val="center"/>
            <w:hideMark/>
          </w:tcPr>
          <w:p w14:paraId="56CFF613" w14:textId="050BB876"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p>
        </w:tc>
        <w:tc>
          <w:tcPr>
            <w:tcW w:w="1358" w:type="dxa"/>
            <w:tcBorders>
              <w:top w:val="nil"/>
              <w:left w:val="single" w:sz="4" w:space="0" w:color="auto"/>
              <w:bottom w:val="nil"/>
              <w:right w:val="nil"/>
            </w:tcBorders>
            <w:shd w:val="clear" w:color="auto" w:fill="auto"/>
            <w:noWrap/>
            <w:vAlign w:val="center"/>
            <w:hideMark/>
          </w:tcPr>
          <w:p w14:paraId="032021D4" w14:textId="2DB040DD"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p>
        </w:tc>
        <w:tc>
          <w:tcPr>
            <w:tcW w:w="626" w:type="dxa"/>
            <w:tcBorders>
              <w:top w:val="nil"/>
              <w:left w:val="nil"/>
              <w:bottom w:val="nil"/>
              <w:right w:val="single" w:sz="4" w:space="0" w:color="auto"/>
            </w:tcBorders>
            <w:shd w:val="clear" w:color="auto" w:fill="auto"/>
            <w:noWrap/>
            <w:vAlign w:val="center"/>
            <w:hideMark/>
          </w:tcPr>
          <w:p w14:paraId="02BE7D37" w14:textId="5DB52863"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p>
        </w:tc>
      </w:tr>
      <w:tr w:rsidR="00307721" w:rsidRPr="00307721" w14:paraId="114148BA" w14:textId="77777777" w:rsidTr="00307721">
        <w:trPr>
          <w:trHeight w:val="300"/>
        </w:trPr>
        <w:tc>
          <w:tcPr>
            <w:tcW w:w="1560" w:type="dxa"/>
            <w:tcBorders>
              <w:top w:val="nil"/>
              <w:left w:val="nil"/>
              <w:bottom w:val="nil"/>
              <w:right w:val="nil"/>
            </w:tcBorders>
            <w:shd w:val="clear" w:color="auto" w:fill="auto"/>
            <w:noWrap/>
            <w:vAlign w:val="bottom"/>
            <w:hideMark/>
          </w:tcPr>
          <w:p w14:paraId="1773848B" w14:textId="77777777" w:rsidR="00307721" w:rsidRPr="00307721" w:rsidRDefault="00307721" w:rsidP="00307721">
            <w:pPr>
              <w:spacing w:after="0" w:line="240" w:lineRule="auto"/>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 xml:space="preserve">  No</w:t>
            </w:r>
          </w:p>
        </w:tc>
        <w:tc>
          <w:tcPr>
            <w:tcW w:w="1559" w:type="dxa"/>
            <w:tcBorders>
              <w:top w:val="nil"/>
              <w:left w:val="nil"/>
              <w:bottom w:val="nil"/>
              <w:right w:val="nil"/>
            </w:tcBorders>
            <w:shd w:val="clear" w:color="auto" w:fill="auto"/>
            <w:noWrap/>
            <w:vAlign w:val="center"/>
            <w:hideMark/>
          </w:tcPr>
          <w:p w14:paraId="45B0863D" w14:textId="6C13F9C8"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781</w:t>
            </w:r>
            <w:r w:rsidR="00900813">
              <w:rPr>
                <w:rFonts w:ascii="Arial" w:eastAsia="Times New Roman" w:hAnsi="Arial" w:cs="Arial"/>
                <w:color w:val="000000"/>
                <w:sz w:val="16"/>
                <w:szCs w:val="16"/>
                <w:lang w:val="en-GB" w:eastAsia="en-GB"/>
              </w:rPr>
              <w:t>/859 (91</w:t>
            </w:r>
            <w:r w:rsidRPr="00307721">
              <w:rPr>
                <w:rFonts w:ascii="Arial" w:eastAsia="Times New Roman" w:hAnsi="Arial" w:cs="Arial"/>
                <w:color w:val="000000"/>
                <w:sz w:val="16"/>
                <w:szCs w:val="16"/>
                <w:lang w:val="en-GB" w:eastAsia="en-GB"/>
              </w:rPr>
              <w:t>)</w:t>
            </w:r>
          </w:p>
        </w:tc>
        <w:tc>
          <w:tcPr>
            <w:tcW w:w="1559" w:type="dxa"/>
            <w:tcBorders>
              <w:top w:val="nil"/>
              <w:left w:val="nil"/>
              <w:bottom w:val="nil"/>
              <w:right w:val="single" w:sz="4" w:space="0" w:color="auto"/>
            </w:tcBorders>
            <w:shd w:val="clear" w:color="auto" w:fill="auto"/>
            <w:noWrap/>
            <w:vAlign w:val="center"/>
            <w:hideMark/>
          </w:tcPr>
          <w:p w14:paraId="201A9F6A" w14:textId="2DBEA37D" w:rsidR="00307721" w:rsidRPr="00307721" w:rsidRDefault="00900813"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2,057/2,136 (96</w:t>
            </w:r>
            <w:r w:rsidR="00307721" w:rsidRPr="00307721">
              <w:rPr>
                <w:rFonts w:ascii="Arial" w:eastAsia="Times New Roman" w:hAnsi="Arial" w:cs="Arial"/>
                <w:color w:val="000000"/>
                <w:sz w:val="16"/>
                <w:szCs w:val="16"/>
                <w:lang w:val="en-GB" w:eastAsia="en-GB"/>
              </w:rPr>
              <w:t>)</w:t>
            </w:r>
          </w:p>
        </w:tc>
        <w:tc>
          <w:tcPr>
            <w:tcW w:w="1276" w:type="dxa"/>
            <w:tcBorders>
              <w:top w:val="nil"/>
              <w:left w:val="single" w:sz="4" w:space="0" w:color="auto"/>
              <w:bottom w:val="nil"/>
              <w:right w:val="nil"/>
            </w:tcBorders>
            <w:shd w:val="clear" w:color="auto" w:fill="auto"/>
            <w:noWrap/>
            <w:vAlign w:val="center"/>
            <w:hideMark/>
          </w:tcPr>
          <w:p w14:paraId="38626366" w14:textId="77777777"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Reference</w:t>
            </w:r>
          </w:p>
        </w:tc>
        <w:tc>
          <w:tcPr>
            <w:tcW w:w="626" w:type="dxa"/>
            <w:tcBorders>
              <w:top w:val="nil"/>
              <w:left w:val="nil"/>
              <w:bottom w:val="nil"/>
              <w:right w:val="single" w:sz="4" w:space="0" w:color="auto"/>
            </w:tcBorders>
            <w:shd w:val="clear" w:color="auto" w:fill="auto"/>
            <w:noWrap/>
            <w:vAlign w:val="center"/>
            <w:hideMark/>
          </w:tcPr>
          <w:p w14:paraId="318C1B3E" w14:textId="783D6A9B"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w:t>
            </w:r>
          </w:p>
        </w:tc>
        <w:tc>
          <w:tcPr>
            <w:tcW w:w="1358" w:type="dxa"/>
            <w:tcBorders>
              <w:top w:val="nil"/>
              <w:left w:val="single" w:sz="4" w:space="0" w:color="auto"/>
              <w:bottom w:val="nil"/>
              <w:right w:val="nil"/>
            </w:tcBorders>
            <w:shd w:val="clear" w:color="auto" w:fill="auto"/>
            <w:noWrap/>
            <w:vAlign w:val="center"/>
            <w:hideMark/>
          </w:tcPr>
          <w:p w14:paraId="66FDF589" w14:textId="77777777"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Reference</w:t>
            </w:r>
          </w:p>
        </w:tc>
        <w:tc>
          <w:tcPr>
            <w:tcW w:w="626" w:type="dxa"/>
            <w:tcBorders>
              <w:top w:val="nil"/>
              <w:left w:val="nil"/>
              <w:bottom w:val="nil"/>
              <w:right w:val="single" w:sz="4" w:space="0" w:color="auto"/>
            </w:tcBorders>
            <w:shd w:val="clear" w:color="auto" w:fill="auto"/>
            <w:noWrap/>
            <w:vAlign w:val="center"/>
            <w:hideMark/>
          </w:tcPr>
          <w:p w14:paraId="37C164B5" w14:textId="6F6C649C"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w:t>
            </w:r>
          </w:p>
        </w:tc>
      </w:tr>
      <w:tr w:rsidR="00307721" w:rsidRPr="00307721" w14:paraId="1DC39FBC" w14:textId="77777777" w:rsidTr="00307721">
        <w:trPr>
          <w:trHeight w:val="300"/>
        </w:trPr>
        <w:tc>
          <w:tcPr>
            <w:tcW w:w="1560" w:type="dxa"/>
            <w:tcBorders>
              <w:top w:val="nil"/>
              <w:left w:val="nil"/>
              <w:bottom w:val="nil"/>
              <w:right w:val="nil"/>
            </w:tcBorders>
            <w:shd w:val="clear" w:color="auto" w:fill="auto"/>
            <w:noWrap/>
            <w:vAlign w:val="bottom"/>
            <w:hideMark/>
          </w:tcPr>
          <w:p w14:paraId="108FBA4D" w14:textId="77777777" w:rsidR="00307721" w:rsidRPr="00307721" w:rsidRDefault="00307721" w:rsidP="00307721">
            <w:pPr>
              <w:spacing w:after="0" w:line="240" w:lineRule="auto"/>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 xml:space="preserve">  Yes</w:t>
            </w:r>
          </w:p>
        </w:tc>
        <w:tc>
          <w:tcPr>
            <w:tcW w:w="1559" w:type="dxa"/>
            <w:tcBorders>
              <w:top w:val="nil"/>
              <w:left w:val="nil"/>
              <w:bottom w:val="nil"/>
              <w:right w:val="nil"/>
            </w:tcBorders>
            <w:shd w:val="clear" w:color="auto" w:fill="auto"/>
            <w:noWrap/>
            <w:vAlign w:val="center"/>
            <w:hideMark/>
          </w:tcPr>
          <w:p w14:paraId="74EACE52" w14:textId="5CC4C0B8" w:rsidR="00307721" w:rsidRPr="00307721" w:rsidRDefault="00900813"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78/859 (9</w:t>
            </w:r>
            <w:r w:rsidR="00307721" w:rsidRPr="00307721">
              <w:rPr>
                <w:rFonts w:ascii="Arial" w:eastAsia="Times New Roman" w:hAnsi="Arial" w:cs="Arial"/>
                <w:color w:val="000000"/>
                <w:sz w:val="16"/>
                <w:szCs w:val="16"/>
                <w:lang w:val="en-GB" w:eastAsia="en-GB"/>
              </w:rPr>
              <w:t>)</w:t>
            </w:r>
          </w:p>
        </w:tc>
        <w:tc>
          <w:tcPr>
            <w:tcW w:w="1559" w:type="dxa"/>
            <w:tcBorders>
              <w:top w:val="nil"/>
              <w:left w:val="nil"/>
              <w:bottom w:val="nil"/>
              <w:right w:val="single" w:sz="4" w:space="0" w:color="auto"/>
            </w:tcBorders>
            <w:shd w:val="clear" w:color="auto" w:fill="auto"/>
            <w:noWrap/>
            <w:vAlign w:val="center"/>
            <w:hideMark/>
          </w:tcPr>
          <w:p w14:paraId="6EFA2263" w14:textId="6D3EDA5E" w:rsidR="00307721" w:rsidRPr="00307721" w:rsidRDefault="00900813"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79/2,136 (4</w:t>
            </w:r>
            <w:r w:rsidR="00307721" w:rsidRPr="00307721">
              <w:rPr>
                <w:rFonts w:ascii="Arial" w:eastAsia="Times New Roman" w:hAnsi="Arial" w:cs="Arial"/>
                <w:color w:val="000000"/>
                <w:sz w:val="16"/>
                <w:szCs w:val="16"/>
                <w:lang w:val="en-GB" w:eastAsia="en-GB"/>
              </w:rPr>
              <w:t>)</w:t>
            </w:r>
          </w:p>
        </w:tc>
        <w:tc>
          <w:tcPr>
            <w:tcW w:w="1276" w:type="dxa"/>
            <w:tcBorders>
              <w:top w:val="nil"/>
              <w:left w:val="single" w:sz="4" w:space="0" w:color="auto"/>
              <w:bottom w:val="nil"/>
              <w:right w:val="nil"/>
            </w:tcBorders>
            <w:shd w:val="clear" w:color="auto" w:fill="auto"/>
            <w:noWrap/>
            <w:vAlign w:val="center"/>
            <w:hideMark/>
          </w:tcPr>
          <w:p w14:paraId="0D0620E3"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2.6 (1.9-3.6)</w:t>
            </w:r>
          </w:p>
        </w:tc>
        <w:tc>
          <w:tcPr>
            <w:tcW w:w="626" w:type="dxa"/>
            <w:tcBorders>
              <w:top w:val="nil"/>
              <w:left w:val="nil"/>
              <w:bottom w:val="nil"/>
              <w:right w:val="single" w:sz="4" w:space="0" w:color="auto"/>
            </w:tcBorders>
            <w:shd w:val="clear" w:color="auto" w:fill="auto"/>
            <w:noWrap/>
            <w:vAlign w:val="center"/>
            <w:hideMark/>
          </w:tcPr>
          <w:p w14:paraId="3F284DC0"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&lt;0.01</w:t>
            </w:r>
          </w:p>
        </w:tc>
        <w:tc>
          <w:tcPr>
            <w:tcW w:w="1358" w:type="dxa"/>
            <w:tcBorders>
              <w:top w:val="nil"/>
              <w:left w:val="single" w:sz="4" w:space="0" w:color="auto"/>
              <w:bottom w:val="nil"/>
              <w:right w:val="nil"/>
            </w:tcBorders>
            <w:shd w:val="clear" w:color="auto" w:fill="auto"/>
            <w:noWrap/>
            <w:vAlign w:val="center"/>
            <w:hideMark/>
          </w:tcPr>
          <w:p w14:paraId="083B9BD1"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2.3 (1.6-3.5)</w:t>
            </w:r>
          </w:p>
        </w:tc>
        <w:tc>
          <w:tcPr>
            <w:tcW w:w="626" w:type="dxa"/>
            <w:tcBorders>
              <w:top w:val="nil"/>
              <w:left w:val="nil"/>
              <w:bottom w:val="nil"/>
              <w:right w:val="single" w:sz="4" w:space="0" w:color="auto"/>
            </w:tcBorders>
            <w:shd w:val="clear" w:color="auto" w:fill="auto"/>
            <w:noWrap/>
            <w:vAlign w:val="center"/>
            <w:hideMark/>
          </w:tcPr>
          <w:p w14:paraId="71D544F7"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&lt;0.01</w:t>
            </w:r>
          </w:p>
        </w:tc>
      </w:tr>
      <w:tr w:rsidR="00307721" w:rsidRPr="00307721" w14:paraId="09EDD66C" w14:textId="77777777" w:rsidTr="00307721">
        <w:trPr>
          <w:trHeight w:val="300"/>
        </w:trPr>
        <w:tc>
          <w:tcPr>
            <w:tcW w:w="4678" w:type="dxa"/>
            <w:gridSpan w:val="3"/>
            <w:tcBorders>
              <w:top w:val="nil"/>
              <w:left w:val="nil"/>
              <w:bottom w:val="nil"/>
              <w:right w:val="single" w:sz="4" w:space="0" w:color="auto"/>
            </w:tcBorders>
            <w:shd w:val="clear" w:color="auto" w:fill="auto"/>
            <w:noWrap/>
            <w:vAlign w:val="center"/>
            <w:hideMark/>
          </w:tcPr>
          <w:p w14:paraId="776659EC" w14:textId="4B63327C" w:rsidR="00307721" w:rsidRPr="00307721" w:rsidRDefault="00307721" w:rsidP="00307721">
            <w:pPr>
              <w:spacing w:after="0" w:line="240" w:lineRule="auto"/>
              <w:rPr>
                <w:rFonts w:ascii="Arial" w:eastAsia="Times New Roman" w:hAnsi="Arial" w:cs="Arial"/>
                <w:color w:val="000000"/>
                <w:sz w:val="16"/>
                <w:szCs w:val="16"/>
                <w:lang w:val="en-GB" w:eastAsia="en-GB"/>
              </w:rPr>
            </w:pPr>
            <w:r w:rsidRPr="00307721">
              <w:rPr>
                <w:rFonts w:ascii="Arial" w:eastAsia="Times New Roman" w:hAnsi="Arial" w:cs="Arial"/>
                <w:b/>
                <w:bCs/>
                <w:color w:val="000000"/>
                <w:sz w:val="16"/>
                <w:szCs w:val="16"/>
                <w:lang w:val="en-GB" w:eastAsia="en-GB"/>
              </w:rPr>
              <w:t>Antibiotic use during admission (N=3,557)</w:t>
            </w:r>
          </w:p>
        </w:tc>
        <w:tc>
          <w:tcPr>
            <w:tcW w:w="1276" w:type="dxa"/>
            <w:tcBorders>
              <w:top w:val="nil"/>
              <w:left w:val="single" w:sz="4" w:space="0" w:color="auto"/>
              <w:bottom w:val="nil"/>
              <w:right w:val="nil"/>
            </w:tcBorders>
            <w:shd w:val="clear" w:color="auto" w:fill="auto"/>
            <w:noWrap/>
            <w:vAlign w:val="center"/>
            <w:hideMark/>
          </w:tcPr>
          <w:p w14:paraId="2C94A573" w14:textId="15358848"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p>
        </w:tc>
        <w:tc>
          <w:tcPr>
            <w:tcW w:w="626" w:type="dxa"/>
            <w:tcBorders>
              <w:top w:val="nil"/>
              <w:left w:val="nil"/>
              <w:bottom w:val="nil"/>
              <w:right w:val="single" w:sz="4" w:space="0" w:color="auto"/>
            </w:tcBorders>
            <w:shd w:val="clear" w:color="auto" w:fill="auto"/>
            <w:noWrap/>
            <w:vAlign w:val="center"/>
            <w:hideMark/>
          </w:tcPr>
          <w:p w14:paraId="5D9C0A36" w14:textId="41B9E2EF"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p>
        </w:tc>
        <w:tc>
          <w:tcPr>
            <w:tcW w:w="1358" w:type="dxa"/>
            <w:tcBorders>
              <w:top w:val="nil"/>
              <w:left w:val="single" w:sz="4" w:space="0" w:color="auto"/>
              <w:bottom w:val="nil"/>
              <w:right w:val="nil"/>
            </w:tcBorders>
            <w:shd w:val="clear" w:color="auto" w:fill="auto"/>
            <w:noWrap/>
            <w:vAlign w:val="center"/>
            <w:hideMark/>
          </w:tcPr>
          <w:p w14:paraId="4640A6DD" w14:textId="1343CE2F"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p>
        </w:tc>
        <w:tc>
          <w:tcPr>
            <w:tcW w:w="626" w:type="dxa"/>
            <w:tcBorders>
              <w:top w:val="nil"/>
              <w:left w:val="nil"/>
              <w:bottom w:val="nil"/>
              <w:right w:val="single" w:sz="4" w:space="0" w:color="auto"/>
            </w:tcBorders>
            <w:shd w:val="clear" w:color="auto" w:fill="auto"/>
            <w:noWrap/>
            <w:vAlign w:val="center"/>
            <w:hideMark/>
          </w:tcPr>
          <w:p w14:paraId="394E3FAE" w14:textId="2B498F02"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p>
        </w:tc>
      </w:tr>
      <w:tr w:rsidR="00307721" w:rsidRPr="00307721" w14:paraId="3A9B0A8F" w14:textId="77777777" w:rsidTr="00307721">
        <w:trPr>
          <w:trHeight w:val="300"/>
        </w:trPr>
        <w:tc>
          <w:tcPr>
            <w:tcW w:w="1560" w:type="dxa"/>
            <w:tcBorders>
              <w:top w:val="nil"/>
              <w:left w:val="nil"/>
              <w:bottom w:val="nil"/>
              <w:right w:val="nil"/>
            </w:tcBorders>
            <w:shd w:val="clear" w:color="auto" w:fill="auto"/>
            <w:noWrap/>
            <w:vAlign w:val="bottom"/>
            <w:hideMark/>
          </w:tcPr>
          <w:p w14:paraId="0447A968" w14:textId="77777777" w:rsidR="00307721" w:rsidRPr="00307721" w:rsidRDefault="00307721" w:rsidP="00307721">
            <w:pPr>
              <w:spacing w:after="0" w:line="240" w:lineRule="auto"/>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 xml:space="preserve">  No</w:t>
            </w:r>
          </w:p>
        </w:tc>
        <w:tc>
          <w:tcPr>
            <w:tcW w:w="1559" w:type="dxa"/>
            <w:tcBorders>
              <w:top w:val="nil"/>
              <w:left w:val="nil"/>
              <w:bottom w:val="nil"/>
              <w:right w:val="nil"/>
            </w:tcBorders>
            <w:shd w:val="clear" w:color="auto" w:fill="auto"/>
            <w:noWrap/>
            <w:vAlign w:val="center"/>
            <w:hideMark/>
          </w:tcPr>
          <w:p w14:paraId="4C3AA8C9" w14:textId="1A6A958A" w:rsidR="00307721" w:rsidRPr="00307721" w:rsidRDefault="00900813"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51/1,027 (5</w:t>
            </w:r>
            <w:r w:rsidR="00307721" w:rsidRPr="00307721">
              <w:rPr>
                <w:rFonts w:ascii="Arial" w:eastAsia="Times New Roman" w:hAnsi="Arial" w:cs="Arial"/>
                <w:color w:val="000000"/>
                <w:sz w:val="16"/>
                <w:szCs w:val="16"/>
                <w:lang w:val="en-GB" w:eastAsia="en-GB"/>
              </w:rPr>
              <w:t>)</w:t>
            </w:r>
          </w:p>
        </w:tc>
        <w:tc>
          <w:tcPr>
            <w:tcW w:w="1559" w:type="dxa"/>
            <w:tcBorders>
              <w:top w:val="nil"/>
              <w:left w:val="nil"/>
              <w:bottom w:val="nil"/>
              <w:right w:val="single" w:sz="4" w:space="0" w:color="auto"/>
            </w:tcBorders>
            <w:shd w:val="clear" w:color="auto" w:fill="auto"/>
            <w:noWrap/>
            <w:vAlign w:val="center"/>
            <w:hideMark/>
          </w:tcPr>
          <w:p w14:paraId="016A1518" w14:textId="2939903F" w:rsidR="00307721" w:rsidRPr="00307721" w:rsidRDefault="00900813"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226/2,530 (9</w:t>
            </w:r>
            <w:r w:rsidR="00307721" w:rsidRPr="00307721">
              <w:rPr>
                <w:rFonts w:ascii="Arial" w:eastAsia="Times New Roman" w:hAnsi="Arial" w:cs="Arial"/>
                <w:color w:val="000000"/>
                <w:sz w:val="16"/>
                <w:szCs w:val="16"/>
                <w:lang w:val="en-GB" w:eastAsia="en-GB"/>
              </w:rPr>
              <w:t>)</w:t>
            </w:r>
          </w:p>
        </w:tc>
        <w:tc>
          <w:tcPr>
            <w:tcW w:w="1276" w:type="dxa"/>
            <w:tcBorders>
              <w:top w:val="nil"/>
              <w:left w:val="single" w:sz="4" w:space="0" w:color="auto"/>
              <w:bottom w:val="nil"/>
              <w:right w:val="nil"/>
            </w:tcBorders>
            <w:shd w:val="clear" w:color="auto" w:fill="auto"/>
            <w:noWrap/>
            <w:vAlign w:val="center"/>
            <w:hideMark/>
          </w:tcPr>
          <w:p w14:paraId="5DB7E6AD" w14:textId="77777777"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Reference</w:t>
            </w:r>
          </w:p>
        </w:tc>
        <w:tc>
          <w:tcPr>
            <w:tcW w:w="626" w:type="dxa"/>
            <w:tcBorders>
              <w:top w:val="nil"/>
              <w:left w:val="nil"/>
              <w:bottom w:val="nil"/>
              <w:right w:val="single" w:sz="4" w:space="0" w:color="auto"/>
            </w:tcBorders>
            <w:shd w:val="clear" w:color="auto" w:fill="auto"/>
            <w:noWrap/>
            <w:vAlign w:val="center"/>
            <w:hideMark/>
          </w:tcPr>
          <w:p w14:paraId="73195416" w14:textId="7BD4E5D0"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w:t>
            </w:r>
          </w:p>
        </w:tc>
        <w:tc>
          <w:tcPr>
            <w:tcW w:w="1358" w:type="dxa"/>
            <w:tcBorders>
              <w:top w:val="nil"/>
              <w:left w:val="single" w:sz="4" w:space="0" w:color="auto"/>
              <w:bottom w:val="nil"/>
              <w:right w:val="nil"/>
            </w:tcBorders>
            <w:shd w:val="clear" w:color="auto" w:fill="auto"/>
            <w:noWrap/>
            <w:vAlign w:val="center"/>
            <w:hideMark/>
          </w:tcPr>
          <w:p w14:paraId="2DBBC21C" w14:textId="77777777"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Reference</w:t>
            </w:r>
          </w:p>
        </w:tc>
        <w:tc>
          <w:tcPr>
            <w:tcW w:w="626" w:type="dxa"/>
            <w:tcBorders>
              <w:top w:val="nil"/>
              <w:left w:val="nil"/>
              <w:bottom w:val="nil"/>
              <w:right w:val="single" w:sz="4" w:space="0" w:color="auto"/>
            </w:tcBorders>
            <w:shd w:val="clear" w:color="auto" w:fill="auto"/>
            <w:noWrap/>
            <w:vAlign w:val="center"/>
            <w:hideMark/>
          </w:tcPr>
          <w:p w14:paraId="1712783A" w14:textId="2B77E491"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w:t>
            </w:r>
          </w:p>
        </w:tc>
      </w:tr>
      <w:tr w:rsidR="00307721" w:rsidRPr="00307721" w14:paraId="21C26C09" w14:textId="77777777" w:rsidTr="00900813">
        <w:trPr>
          <w:trHeight w:val="430"/>
        </w:trPr>
        <w:tc>
          <w:tcPr>
            <w:tcW w:w="1560" w:type="dxa"/>
            <w:tcBorders>
              <w:top w:val="nil"/>
              <w:left w:val="nil"/>
              <w:bottom w:val="nil"/>
              <w:right w:val="nil"/>
            </w:tcBorders>
            <w:shd w:val="clear" w:color="auto" w:fill="auto"/>
            <w:noWrap/>
            <w:vAlign w:val="center"/>
            <w:hideMark/>
          </w:tcPr>
          <w:p w14:paraId="68F0E058" w14:textId="77777777" w:rsidR="00307721" w:rsidRPr="00307721" w:rsidRDefault="00307721" w:rsidP="00900813">
            <w:pPr>
              <w:spacing w:after="0" w:line="240" w:lineRule="auto"/>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 xml:space="preserve">  Yes</w:t>
            </w:r>
          </w:p>
        </w:tc>
        <w:tc>
          <w:tcPr>
            <w:tcW w:w="1559" w:type="dxa"/>
            <w:tcBorders>
              <w:top w:val="nil"/>
              <w:left w:val="nil"/>
              <w:bottom w:val="nil"/>
              <w:right w:val="nil"/>
            </w:tcBorders>
            <w:shd w:val="clear" w:color="auto" w:fill="auto"/>
            <w:noWrap/>
            <w:vAlign w:val="center"/>
            <w:hideMark/>
          </w:tcPr>
          <w:p w14:paraId="7BDB8C59" w14:textId="7E4245B1"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976/1,027 (</w:t>
            </w:r>
            <w:r w:rsidR="00900813">
              <w:rPr>
                <w:rFonts w:ascii="Arial" w:eastAsia="Times New Roman" w:hAnsi="Arial" w:cs="Arial"/>
                <w:color w:val="000000"/>
                <w:sz w:val="16"/>
                <w:szCs w:val="16"/>
                <w:lang w:val="en-GB" w:eastAsia="en-GB"/>
              </w:rPr>
              <w:t>95</w:t>
            </w:r>
            <w:r w:rsidRPr="00307721">
              <w:rPr>
                <w:rFonts w:ascii="Arial" w:eastAsia="Times New Roman" w:hAnsi="Arial" w:cs="Arial"/>
                <w:color w:val="000000"/>
                <w:sz w:val="16"/>
                <w:szCs w:val="16"/>
                <w:lang w:val="en-GB" w:eastAsia="en-GB"/>
              </w:rPr>
              <w:t>)</w:t>
            </w:r>
          </w:p>
        </w:tc>
        <w:tc>
          <w:tcPr>
            <w:tcW w:w="1559" w:type="dxa"/>
            <w:tcBorders>
              <w:top w:val="nil"/>
              <w:left w:val="nil"/>
              <w:bottom w:val="nil"/>
              <w:right w:val="single" w:sz="4" w:space="0" w:color="auto"/>
            </w:tcBorders>
            <w:shd w:val="clear" w:color="auto" w:fill="auto"/>
            <w:noWrap/>
            <w:vAlign w:val="center"/>
            <w:hideMark/>
          </w:tcPr>
          <w:p w14:paraId="30A42041" w14:textId="5A94E1C3" w:rsidR="00307721" w:rsidRPr="00307721" w:rsidRDefault="00900813"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2,304/2,530 (91</w:t>
            </w:r>
            <w:r w:rsidR="00307721" w:rsidRPr="00307721">
              <w:rPr>
                <w:rFonts w:ascii="Arial" w:eastAsia="Times New Roman" w:hAnsi="Arial" w:cs="Arial"/>
                <w:color w:val="000000"/>
                <w:sz w:val="16"/>
                <w:szCs w:val="16"/>
                <w:lang w:val="en-GB" w:eastAsia="en-GB"/>
              </w:rPr>
              <w:t>)</w:t>
            </w:r>
          </w:p>
        </w:tc>
        <w:tc>
          <w:tcPr>
            <w:tcW w:w="1276" w:type="dxa"/>
            <w:tcBorders>
              <w:top w:val="nil"/>
              <w:left w:val="single" w:sz="4" w:space="0" w:color="auto"/>
              <w:bottom w:val="nil"/>
              <w:right w:val="nil"/>
            </w:tcBorders>
            <w:shd w:val="clear" w:color="auto" w:fill="auto"/>
            <w:noWrap/>
            <w:vAlign w:val="center"/>
            <w:hideMark/>
          </w:tcPr>
          <w:p w14:paraId="23762313"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1.9 (1.4-2.5)</w:t>
            </w:r>
          </w:p>
        </w:tc>
        <w:tc>
          <w:tcPr>
            <w:tcW w:w="626" w:type="dxa"/>
            <w:tcBorders>
              <w:top w:val="nil"/>
              <w:left w:val="nil"/>
              <w:bottom w:val="nil"/>
              <w:right w:val="single" w:sz="4" w:space="0" w:color="auto"/>
            </w:tcBorders>
            <w:shd w:val="clear" w:color="auto" w:fill="auto"/>
            <w:noWrap/>
            <w:vAlign w:val="center"/>
            <w:hideMark/>
          </w:tcPr>
          <w:p w14:paraId="062C51FE"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&lt;0.01</w:t>
            </w:r>
          </w:p>
        </w:tc>
        <w:tc>
          <w:tcPr>
            <w:tcW w:w="1358" w:type="dxa"/>
            <w:tcBorders>
              <w:top w:val="nil"/>
              <w:left w:val="single" w:sz="4" w:space="0" w:color="auto"/>
              <w:bottom w:val="nil"/>
              <w:right w:val="nil"/>
            </w:tcBorders>
            <w:shd w:val="clear" w:color="auto" w:fill="auto"/>
            <w:noWrap/>
            <w:vAlign w:val="center"/>
            <w:hideMark/>
          </w:tcPr>
          <w:p w14:paraId="6D5238B0"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1.7 (1.0-2.7)</w:t>
            </w:r>
          </w:p>
        </w:tc>
        <w:tc>
          <w:tcPr>
            <w:tcW w:w="626" w:type="dxa"/>
            <w:tcBorders>
              <w:top w:val="nil"/>
              <w:left w:val="nil"/>
              <w:bottom w:val="nil"/>
              <w:right w:val="single" w:sz="4" w:space="0" w:color="auto"/>
            </w:tcBorders>
            <w:shd w:val="clear" w:color="auto" w:fill="auto"/>
            <w:noWrap/>
            <w:vAlign w:val="center"/>
            <w:hideMark/>
          </w:tcPr>
          <w:p w14:paraId="0655B9B8"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0.03</w:t>
            </w:r>
          </w:p>
        </w:tc>
      </w:tr>
      <w:tr w:rsidR="00307721" w:rsidRPr="00307721" w14:paraId="016F3806" w14:textId="77777777" w:rsidTr="00307721">
        <w:trPr>
          <w:trHeight w:val="300"/>
        </w:trPr>
        <w:tc>
          <w:tcPr>
            <w:tcW w:w="4678" w:type="dxa"/>
            <w:gridSpan w:val="3"/>
            <w:tcBorders>
              <w:top w:val="nil"/>
              <w:left w:val="nil"/>
              <w:bottom w:val="nil"/>
              <w:right w:val="single" w:sz="4" w:space="0" w:color="auto"/>
            </w:tcBorders>
            <w:shd w:val="clear" w:color="auto" w:fill="auto"/>
            <w:noWrap/>
            <w:vAlign w:val="center"/>
            <w:hideMark/>
          </w:tcPr>
          <w:p w14:paraId="4B17CAD6" w14:textId="56F06247" w:rsidR="00307721" w:rsidRPr="00307721" w:rsidRDefault="00307721" w:rsidP="00307721">
            <w:pPr>
              <w:spacing w:after="0" w:line="240" w:lineRule="auto"/>
              <w:rPr>
                <w:rFonts w:ascii="Arial" w:eastAsia="Times New Roman" w:hAnsi="Arial" w:cs="Arial"/>
                <w:color w:val="000000"/>
                <w:sz w:val="16"/>
                <w:szCs w:val="16"/>
                <w:lang w:val="en-GB" w:eastAsia="en-GB"/>
              </w:rPr>
            </w:pPr>
            <w:r w:rsidRPr="00307721">
              <w:rPr>
                <w:rFonts w:ascii="Arial" w:eastAsia="Times New Roman" w:hAnsi="Arial" w:cs="Arial"/>
                <w:b/>
                <w:bCs/>
                <w:color w:val="000000"/>
                <w:sz w:val="16"/>
                <w:szCs w:val="16"/>
                <w:lang w:val="en-GB" w:eastAsia="en-GB"/>
              </w:rPr>
              <w:lastRenderedPageBreak/>
              <w:t>PCV status (N=3,328)</w:t>
            </w:r>
          </w:p>
        </w:tc>
        <w:tc>
          <w:tcPr>
            <w:tcW w:w="1276" w:type="dxa"/>
            <w:tcBorders>
              <w:top w:val="nil"/>
              <w:left w:val="single" w:sz="4" w:space="0" w:color="auto"/>
              <w:bottom w:val="nil"/>
              <w:right w:val="nil"/>
            </w:tcBorders>
            <w:shd w:val="clear" w:color="auto" w:fill="auto"/>
            <w:noWrap/>
            <w:vAlign w:val="center"/>
            <w:hideMark/>
          </w:tcPr>
          <w:p w14:paraId="6ACD5B5E" w14:textId="50D8B076"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p>
        </w:tc>
        <w:tc>
          <w:tcPr>
            <w:tcW w:w="626" w:type="dxa"/>
            <w:tcBorders>
              <w:top w:val="nil"/>
              <w:left w:val="nil"/>
              <w:bottom w:val="nil"/>
              <w:right w:val="single" w:sz="4" w:space="0" w:color="auto"/>
            </w:tcBorders>
            <w:shd w:val="clear" w:color="auto" w:fill="auto"/>
            <w:noWrap/>
            <w:vAlign w:val="center"/>
            <w:hideMark/>
          </w:tcPr>
          <w:p w14:paraId="63370701" w14:textId="23F68E96"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p>
        </w:tc>
        <w:tc>
          <w:tcPr>
            <w:tcW w:w="1358" w:type="dxa"/>
            <w:tcBorders>
              <w:top w:val="nil"/>
              <w:left w:val="single" w:sz="4" w:space="0" w:color="auto"/>
              <w:bottom w:val="nil"/>
              <w:right w:val="nil"/>
            </w:tcBorders>
            <w:shd w:val="clear" w:color="auto" w:fill="auto"/>
            <w:noWrap/>
            <w:vAlign w:val="center"/>
            <w:hideMark/>
          </w:tcPr>
          <w:p w14:paraId="511493E5" w14:textId="44C8E3AA"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p>
        </w:tc>
        <w:tc>
          <w:tcPr>
            <w:tcW w:w="626" w:type="dxa"/>
            <w:tcBorders>
              <w:top w:val="nil"/>
              <w:left w:val="nil"/>
              <w:bottom w:val="nil"/>
              <w:right w:val="single" w:sz="4" w:space="0" w:color="auto"/>
            </w:tcBorders>
            <w:shd w:val="clear" w:color="auto" w:fill="auto"/>
            <w:noWrap/>
            <w:vAlign w:val="center"/>
            <w:hideMark/>
          </w:tcPr>
          <w:p w14:paraId="1D7A8C90" w14:textId="69D2BC0F"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p>
        </w:tc>
      </w:tr>
      <w:tr w:rsidR="00307721" w:rsidRPr="00307721" w14:paraId="20F89DDA" w14:textId="77777777" w:rsidTr="00307721">
        <w:trPr>
          <w:trHeight w:val="300"/>
        </w:trPr>
        <w:tc>
          <w:tcPr>
            <w:tcW w:w="1560" w:type="dxa"/>
            <w:tcBorders>
              <w:top w:val="nil"/>
              <w:left w:val="nil"/>
              <w:bottom w:val="nil"/>
              <w:right w:val="nil"/>
            </w:tcBorders>
            <w:shd w:val="clear" w:color="auto" w:fill="auto"/>
            <w:noWrap/>
            <w:vAlign w:val="bottom"/>
            <w:hideMark/>
          </w:tcPr>
          <w:p w14:paraId="22C4EB24" w14:textId="77777777" w:rsidR="00307721" w:rsidRPr="00307721" w:rsidRDefault="00307721" w:rsidP="00307721">
            <w:pPr>
              <w:spacing w:after="0" w:line="240" w:lineRule="auto"/>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 xml:space="preserve">  Not vaccinated</w:t>
            </w:r>
          </w:p>
        </w:tc>
        <w:tc>
          <w:tcPr>
            <w:tcW w:w="1559" w:type="dxa"/>
            <w:tcBorders>
              <w:top w:val="nil"/>
              <w:left w:val="nil"/>
              <w:bottom w:val="nil"/>
              <w:right w:val="nil"/>
            </w:tcBorders>
            <w:shd w:val="clear" w:color="auto" w:fill="auto"/>
            <w:noWrap/>
            <w:vAlign w:val="center"/>
            <w:hideMark/>
          </w:tcPr>
          <w:p w14:paraId="777D76F4" w14:textId="7E977A0A" w:rsidR="00307721" w:rsidRPr="00307721" w:rsidRDefault="00900813"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791/949 (83</w:t>
            </w:r>
            <w:r w:rsidR="00307721" w:rsidRPr="00307721">
              <w:rPr>
                <w:rFonts w:ascii="Arial" w:eastAsia="Times New Roman" w:hAnsi="Arial" w:cs="Arial"/>
                <w:color w:val="000000"/>
                <w:sz w:val="16"/>
                <w:szCs w:val="16"/>
                <w:lang w:val="en-GB" w:eastAsia="en-GB"/>
              </w:rPr>
              <w:t>)</w:t>
            </w:r>
          </w:p>
        </w:tc>
        <w:tc>
          <w:tcPr>
            <w:tcW w:w="1559" w:type="dxa"/>
            <w:tcBorders>
              <w:top w:val="nil"/>
              <w:left w:val="nil"/>
              <w:bottom w:val="nil"/>
              <w:right w:val="single" w:sz="4" w:space="0" w:color="auto"/>
            </w:tcBorders>
            <w:shd w:val="clear" w:color="auto" w:fill="auto"/>
            <w:noWrap/>
            <w:vAlign w:val="center"/>
            <w:hideMark/>
          </w:tcPr>
          <w:p w14:paraId="234960CC" w14:textId="0502E170" w:rsidR="00307721" w:rsidRPr="00307721" w:rsidRDefault="00900813"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1,967/2,379 (83</w:t>
            </w:r>
            <w:r w:rsidR="00307721" w:rsidRPr="00307721">
              <w:rPr>
                <w:rFonts w:ascii="Arial" w:eastAsia="Times New Roman" w:hAnsi="Arial" w:cs="Arial"/>
                <w:color w:val="000000"/>
                <w:sz w:val="16"/>
                <w:szCs w:val="16"/>
                <w:lang w:val="en-GB" w:eastAsia="en-GB"/>
              </w:rPr>
              <w:t>)</w:t>
            </w:r>
          </w:p>
        </w:tc>
        <w:tc>
          <w:tcPr>
            <w:tcW w:w="1276" w:type="dxa"/>
            <w:tcBorders>
              <w:top w:val="nil"/>
              <w:left w:val="single" w:sz="4" w:space="0" w:color="auto"/>
              <w:bottom w:val="nil"/>
              <w:right w:val="nil"/>
            </w:tcBorders>
            <w:shd w:val="clear" w:color="auto" w:fill="auto"/>
            <w:noWrap/>
            <w:vAlign w:val="center"/>
            <w:hideMark/>
          </w:tcPr>
          <w:p w14:paraId="51132E6D" w14:textId="77777777"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Reference</w:t>
            </w:r>
          </w:p>
        </w:tc>
        <w:tc>
          <w:tcPr>
            <w:tcW w:w="626" w:type="dxa"/>
            <w:tcBorders>
              <w:top w:val="nil"/>
              <w:left w:val="nil"/>
              <w:bottom w:val="nil"/>
              <w:right w:val="single" w:sz="4" w:space="0" w:color="auto"/>
            </w:tcBorders>
            <w:shd w:val="clear" w:color="auto" w:fill="auto"/>
            <w:noWrap/>
            <w:vAlign w:val="center"/>
            <w:hideMark/>
          </w:tcPr>
          <w:p w14:paraId="67E8EDE7" w14:textId="18B1E71F"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w:t>
            </w:r>
          </w:p>
        </w:tc>
        <w:tc>
          <w:tcPr>
            <w:tcW w:w="1358" w:type="dxa"/>
            <w:tcBorders>
              <w:top w:val="nil"/>
              <w:left w:val="single" w:sz="4" w:space="0" w:color="auto"/>
              <w:bottom w:val="nil"/>
              <w:right w:val="nil"/>
            </w:tcBorders>
            <w:shd w:val="clear" w:color="auto" w:fill="auto"/>
            <w:noWrap/>
            <w:vAlign w:val="center"/>
            <w:hideMark/>
          </w:tcPr>
          <w:p w14:paraId="6DFB9CBE" w14:textId="0C17F586"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w:t>
            </w:r>
          </w:p>
        </w:tc>
        <w:tc>
          <w:tcPr>
            <w:tcW w:w="626" w:type="dxa"/>
            <w:tcBorders>
              <w:top w:val="nil"/>
              <w:left w:val="nil"/>
              <w:bottom w:val="nil"/>
              <w:right w:val="single" w:sz="4" w:space="0" w:color="auto"/>
            </w:tcBorders>
            <w:shd w:val="clear" w:color="auto" w:fill="auto"/>
            <w:noWrap/>
            <w:vAlign w:val="center"/>
            <w:hideMark/>
          </w:tcPr>
          <w:p w14:paraId="68B91F74" w14:textId="2ADD13E3"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w:t>
            </w:r>
          </w:p>
        </w:tc>
      </w:tr>
      <w:tr w:rsidR="00307721" w:rsidRPr="00307721" w14:paraId="5DA17FE4" w14:textId="77777777" w:rsidTr="00307721">
        <w:trPr>
          <w:trHeight w:val="300"/>
        </w:trPr>
        <w:tc>
          <w:tcPr>
            <w:tcW w:w="1560" w:type="dxa"/>
            <w:tcBorders>
              <w:top w:val="nil"/>
              <w:left w:val="nil"/>
              <w:bottom w:val="nil"/>
              <w:right w:val="nil"/>
            </w:tcBorders>
            <w:shd w:val="clear" w:color="auto" w:fill="auto"/>
            <w:noWrap/>
            <w:vAlign w:val="bottom"/>
            <w:hideMark/>
          </w:tcPr>
          <w:p w14:paraId="7CCC7F92" w14:textId="77777777" w:rsidR="00307721" w:rsidRPr="00307721" w:rsidRDefault="00307721" w:rsidP="00307721">
            <w:pPr>
              <w:spacing w:after="0" w:line="240" w:lineRule="auto"/>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 xml:space="preserve">  Partial for age</w:t>
            </w:r>
          </w:p>
        </w:tc>
        <w:tc>
          <w:tcPr>
            <w:tcW w:w="1559" w:type="dxa"/>
            <w:tcBorders>
              <w:top w:val="nil"/>
              <w:left w:val="nil"/>
              <w:bottom w:val="nil"/>
              <w:right w:val="nil"/>
            </w:tcBorders>
            <w:shd w:val="clear" w:color="auto" w:fill="auto"/>
            <w:noWrap/>
            <w:vAlign w:val="center"/>
            <w:hideMark/>
          </w:tcPr>
          <w:p w14:paraId="4C46F9E7" w14:textId="5E2D590A" w:rsidR="00307721" w:rsidRPr="00307721" w:rsidRDefault="00900813"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115/949 (12</w:t>
            </w:r>
            <w:r w:rsidR="00307721" w:rsidRPr="00307721">
              <w:rPr>
                <w:rFonts w:ascii="Arial" w:eastAsia="Times New Roman" w:hAnsi="Arial" w:cs="Arial"/>
                <w:color w:val="000000"/>
                <w:sz w:val="16"/>
                <w:szCs w:val="16"/>
                <w:lang w:val="en-GB" w:eastAsia="en-GB"/>
              </w:rPr>
              <w:t>)</w:t>
            </w:r>
          </w:p>
        </w:tc>
        <w:tc>
          <w:tcPr>
            <w:tcW w:w="1559" w:type="dxa"/>
            <w:tcBorders>
              <w:top w:val="nil"/>
              <w:left w:val="nil"/>
              <w:bottom w:val="nil"/>
              <w:right w:val="single" w:sz="4" w:space="0" w:color="auto"/>
            </w:tcBorders>
            <w:shd w:val="clear" w:color="auto" w:fill="auto"/>
            <w:noWrap/>
            <w:vAlign w:val="center"/>
            <w:hideMark/>
          </w:tcPr>
          <w:p w14:paraId="59EDE21E" w14:textId="69FDE481" w:rsidR="00307721" w:rsidRPr="00307721" w:rsidRDefault="00900813"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371/2,379 (16</w:t>
            </w:r>
            <w:r w:rsidR="00307721" w:rsidRPr="00307721">
              <w:rPr>
                <w:rFonts w:ascii="Arial" w:eastAsia="Times New Roman" w:hAnsi="Arial" w:cs="Arial"/>
                <w:color w:val="000000"/>
                <w:sz w:val="16"/>
                <w:szCs w:val="16"/>
                <w:lang w:val="en-GB" w:eastAsia="en-GB"/>
              </w:rPr>
              <w:t>)</w:t>
            </w:r>
          </w:p>
        </w:tc>
        <w:tc>
          <w:tcPr>
            <w:tcW w:w="1276" w:type="dxa"/>
            <w:tcBorders>
              <w:top w:val="nil"/>
              <w:left w:val="single" w:sz="4" w:space="0" w:color="auto"/>
              <w:bottom w:val="nil"/>
              <w:right w:val="nil"/>
            </w:tcBorders>
            <w:shd w:val="clear" w:color="auto" w:fill="auto"/>
            <w:noWrap/>
            <w:vAlign w:val="center"/>
            <w:hideMark/>
          </w:tcPr>
          <w:p w14:paraId="16087284"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0.8 (0.6-1.0)</w:t>
            </w:r>
          </w:p>
        </w:tc>
        <w:tc>
          <w:tcPr>
            <w:tcW w:w="626" w:type="dxa"/>
            <w:tcBorders>
              <w:top w:val="nil"/>
              <w:left w:val="nil"/>
              <w:bottom w:val="nil"/>
              <w:right w:val="single" w:sz="4" w:space="0" w:color="auto"/>
            </w:tcBorders>
            <w:shd w:val="clear" w:color="auto" w:fill="auto"/>
            <w:noWrap/>
            <w:vAlign w:val="center"/>
            <w:hideMark/>
          </w:tcPr>
          <w:p w14:paraId="5D1DEEB8"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0.02</w:t>
            </w:r>
          </w:p>
        </w:tc>
        <w:tc>
          <w:tcPr>
            <w:tcW w:w="1358" w:type="dxa"/>
            <w:tcBorders>
              <w:top w:val="nil"/>
              <w:left w:val="single" w:sz="4" w:space="0" w:color="auto"/>
              <w:bottom w:val="nil"/>
              <w:right w:val="nil"/>
            </w:tcBorders>
            <w:shd w:val="clear" w:color="auto" w:fill="auto"/>
            <w:noWrap/>
            <w:vAlign w:val="center"/>
            <w:hideMark/>
          </w:tcPr>
          <w:p w14:paraId="605BEE98" w14:textId="2928187C"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w:t>
            </w:r>
          </w:p>
        </w:tc>
        <w:tc>
          <w:tcPr>
            <w:tcW w:w="626" w:type="dxa"/>
            <w:tcBorders>
              <w:top w:val="nil"/>
              <w:left w:val="nil"/>
              <w:bottom w:val="nil"/>
              <w:right w:val="single" w:sz="4" w:space="0" w:color="auto"/>
            </w:tcBorders>
            <w:shd w:val="clear" w:color="auto" w:fill="auto"/>
            <w:noWrap/>
            <w:vAlign w:val="center"/>
            <w:hideMark/>
          </w:tcPr>
          <w:p w14:paraId="41DD30AF" w14:textId="665533E9"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w:t>
            </w:r>
          </w:p>
        </w:tc>
      </w:tr>
      <w:tr w:rsidR="00307721" w:rsidRPr="00307721" w14:paraId="2AEC80F6" w14:textId="77777777" w:rsidTr="00307721">
        <w:trPr>
          <w:trHeight w:val="300"/>
        </w:trPr>
        <w:tc>
          <w:tcPr>
            <w:tcW w:w="1560" w:type="dxa"/>
            <w:tcBorders>
              <w:top w:val="nil"/>
              <w:left w:val="nil"/>
              <w:bottom w:val="nil"/>
              <w:right w:val="nil"/>
            </w:tcBorders>
            <w:shd w:val="clear" w:color="auto" w:fill="auto"/>
            <w:noWrap/>
            <w:vAlign w:val="bottom"/>
            <w:hideMark/>
          </w:tcPr>
          <w:p w14:paraId="17B43143" w14:textId="77777777" w:rsidR="00307721" w:rsidRPr="00307721" w:rsidRDefault="00307721" w:rsidP="00307721">
            <w:pPr>
              <w:spacing w:after="0" w:line="240" w:lineRule="auto"/>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 xml:space="preserve">  Complete for age</w:t>
            </w:r>
          </w:p>
        </w:tc>
        <w:tc>
          <w:tcPr>
            <w:tcW w:w="1559" w:type="dxa"/>
            <w:tcBorders>
              <w:top w:val="nil"/>
              <w:left w:val="nil"/>
              <w:bottom w:val="nil"/>
              <w:right w:val="nil"/>
            </w:tcBorders>
            <w:shd w:val="clear" w:color="auto" w:fill="auto"/>
            <w:noWrap/>
            <w:vAlign w:val="center"/>
            <w:hideMark/>
          </w:tcPr>
          <w:p w14:paraId="76D28C3C" w14:textId="7F7DF6C1"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43/9</w:t>
            </w:r>
            <w:r w:rsidR="00900813">
              <w:rPr>
                <w:rFonts w:ascii="Arial" w:eastAsia="Times New Roman" w:hAnsi="Arial" w:cs="Arial"/>
                <w:color w:val="000000"/>
                <w:sz w:val="16"/>
                <w:szCs w:val="16"/>
                <w:lang w:val="en-GB" w:eastAsia="en-GB"/>
              </w:rPr>
              <w:t>49 (5</w:t>
            </w:r>
            <w:r w:rsidRPr="00307721">
              <w:rPr>
                <w:rFonts w:ascii="Arial" w:eastAsia="Times New Roman" w:hAnsi="Arial" w:cs="Arial"/>
                <w:color w:val="000000"/>
                <w:sz w:val="16"/>
                <w:szCs w:val="16"/>
                <w:lang w:val="en-GB" w:eastAsia="en-GB"/>
              </w:rPr>
              <w:t>)</w:t>
            </w:r>
          </w:p>
        </w:tc>
        <w:tc>
          <w:tcPr>
            <w:tcW w:w="1559" w:type="dxa"/>
            <w:tcBorders>
              <w:top w:val="nil"/>
              <w:left w:val="nil"/>
              <w:bottom w:val="nil"/>
              <w:right w:val="single" w:sz="4" w:space="0" w:color="auto"/>
            </w:tcBorders>
            <w:shd w:val="clear" w:color="auto" w:fill="auto"/>
            <w:noWrap/>
            <w:vAlign w:val="center"/>
            <w:hideMark/>
          </w:tcPr>
          <w:p w14:paraId="065AE325" w14:textId="0768D719" w:rsidR="00307721" w:rsidRPr="00307721" w:rsidRDefault="00900813"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41/2,379 (2</w:t>
            </w:r>
            <w:r w:rsidR="00307721" w:rsidRPr="00307721">
              <w:rPr>
                <w:rFonts w:ascii="Arial" w:eastAsia="Times New Roman" w:hAnsi="Arial" w:cs="Arial"/>
                <w:color w:val="000000"/>
                <w:sz w:val="16"/>
                <w:szCs w:val="16"/>
                <w:lang w:val="en-GB" w:eastAsia="en-GB"/>
              </w:rPr>
              <w:t>)</w:t>
            </w:r>
          </w:p>
        </w:tc>
        <w:tc>
          <w:tcPr>
            <w:tcW w:w="1276" w:type="dxa"/>
            <w:tcBorders>
              <w:top w:val="nil"/>
              <w:left w:val="single" w:sz="4" w:space="0" w:color="auto"/>
              <w:bottom w:val="nil"/>
              <w:right w:val="nil"/>
            </w:tcBorders>
            <w:shd w:val="clear" w:color="auto" w:fill="auto"/>
            <w:noWrap/>
            <w:vAlign w:val="center"/>
            <w:hideMark/>
          </w:tcPr>
          <w:p w14:paraId="67C8B3F8"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2.6 (1.7-4.0)</w:t>
            </w:r>
          </w:p>
        </w:tc>
        <w:tc>
          <w:tcPr>
            <w:tcW w:w="626" w:type="dxa"/>
            <w:tcBorders>
              <w:top w:val="nil"/>
              <w:left w:val="nil"/>
              <w:bottom w:val="nil"/>
              <w:right w:val="single" w:sz="4" w:space="0" w:color="auto"/>
            </w:tcBorders>
            <w:shd w:val="clear" w:color="auto" w:fill="auto"/>
            <w:noWrap/>
            <w:vAlign w:val="center"/>
            <w:hideMark/>
          </w:tcPr>
          <w:p w14:paraId="19AD0D68"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&lt;0.01</w:t>
            </w:r>
          </w:p>
        </w:tc>
        <w:tc>
          <w:tcPr>
            <w:tcW w:w="1358" w:type="dxa"/>
            <w:tcBorders>
              <w:top w:val="nil"/>
              <w:left w:val="single" w:sz="4" w:space="0" w:color="auto"/>
              <w:bottom w:val="nil"/>
              <w:right w:val="nil"/>
            </w:tcBorders>
            <w:shd w:val="clear" w:color="auto" w:fill="auto"/>
            <w:noWrap/>
            <w:vAlign w:val="center"/>
            <w:hideMark/>
          </w:tcPr>
          <w:p w14:paraId="1EE8203B" w14:textId="0A4C3E0A"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w:t>
            </w:r>
          </w:p>
        </w:tc>
        <w:tc>
          <w:tcPr>
            <w:tcW w:w="626" w:type="dxa"/>
            <w:tcBorders>
              <w:top w:val="nil"/>
              <w:left w:val="nil"/>
              <w:bottom w:val="nil"/>
              <w:right w:val="single" w:sz="4" w:space="0" w:color="auto"/>
            </w:tcBorders>
            <w:shd w:val="clear" w:color="auto" w:fill="auto"/>
            <w:noWrap/>
            <w:vAlign w:val="center"/>
            <w:hideMark/>
          </w:tcPr>
          <w:p w14:paraId="4A293BEB" w14:textId="1B3FA5B4"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w:t>
            </w:r>
          </w:p>
        </w:tc>
      </w:tr>
      <w:tr w:rsidR="00307721" w:rsidRPr="00307721" w14:paraId="095ED050" w14:textId="77777777" w:rsidTr="00307721">
        <w:trPr>
          <w:trHeight w:val="300"/>
        </w:trPr>
        <w:tc>
          <w:tcPr>
            <w:tcW w:w="4678" w:type="dxa"/>
            <w:gridSpan w:val="3"/>
            <w:tcBorders>
              <w:top w:val="nil"/>
              <w:left w:val="nil"/>
              <w:bottom w:val="nil"/>
              <w:right w:val="single" w:sz="4" w:space="0" w:color="auto"/>
            </w:tcBorders>
            <w:shd w:val="clear" w:color="auto" w:fill="auto"/>
            <w:noWrap/>
            <w:vAlign w:val="center"/>
            <w:hideMark/>
          </w:tcPr>
          <w:p w14:paraId="46730EAF" w14:textId="7DB7FC48" w:rsidR="00307721" w:rsidRPr="00307721" w:rsidRDefault="00307721" w:rsidP="00307721">
            <w:pPr>
              <w:spacing w:after="0" w:line="240" w:lineRule="auto"/>
              <w:rPr>
                <w:rFonts w:ascii="Arial" w:eastAsia="Times New Roman" w:hAnsi="Arial" w:cs="Arial"/>
                <w:color w:val="000000"/>
                <w:sz w:val="16"/>
                <w:szCs w:val="16"/>
                <w:lang w:val="en-GB" w:eastAsia="en-GB"/>
              </w:rPr>
            </w:pPr>
            <w:r w:rsidRPr="00307721">
              <w:rPr>
                <w:rFonts w:ascii="Arial" w:eastAsia="Times New Roman" w:hAnsi="Arial" w:cs="Arial"/>
                <w:b/>
                <w:bCs/>
                <w:color w:val="000000"/>
                <w:sz w:val="16"/>
                <w:szCs w:val="16"/>
                <w:lang w:val="en-GB" w:eastAsia="en-GB"/>
              </w:rPr>
              <w:t>Outcome of hospitalization (N=3,676)</w:t>
            </w:r>
          </w:p>
        </w:tc>
        <w:tc>
          <w:tcPr>
            <w:tcW w:w="1276" w:type="dxa"/>
            <w:tcBorders>
              <w:top w:val="nil"/>
              <w:left w:val="single" w:sz="4" w:space="0" w:color="auto"/>
              <w:bottom w:val="nil"/>
              <w:right w:val="nil"/>
            </w:tcBorders>
            <w:shd w:val="clear" w:color="auto" w:fill="auto"/>
            <w:noWrap/>
            <w:vAlign w:val="center"/>
            <w:hideMark/>
          </w:tcPr>
          <w:p w14:paraId="47071E79" w14:textId="4F5639C9"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p>
        </w:tc>
        <w:tc>
          <w:tcPr>
            <w:tcW w:w="626" w:type="dxa"/>
            <w:tcBorders>
              <w:top w:val="nil"/>
              <w:left w:val="nil"/>
              <w:bottom w:val="nil"/>
              <w:right w:val="single" w:sz="4" w:space="0" w:color="auto"/>
            </w:tcBorders>
            <w:shd w:val="clear" w:color="auto" w:fill="auto"/>
            <w:noWrap/>
            <w:vAlign w:val="center"/>
            <w:hideMark/>
          </w:tcPr>
          <w:p w14:paraId="7728EC0F" w14:textId="39F3AE16"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p>
        </w:tc>
        <w:tc>
          <w:tcPr>
            <w:tcW w:w="1358" w:type="dxa"/>
            <w:tcBorders>
              <w:top w:val="nil"/>
              <w:left w:val="single" w:sz="4" w:space="0" w:color="auto"/>
              <w:bottom w:val="nil"/>
              <w:right w:val="nil"/>
            </w:tcBorders>
            <w:shd w:val="clear" w:color="auto" w:fill="auto"/>
            <w:noWrap/>
            <w:vAlign w:val="center"/>
            <w:hideMark/>
          </w:tcPr>
          <w:p w14:paraId="77F4EF0F" w14:textId="546A4234"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p>
        </w:tc>
        <w:tc>
          <w:tcPr>
            <w:tcW w:w="626" w:type="dxa"/>
            <w:tcBorders>
              <w:top w:val="nil"/>
              <w:left w:val="nil"/>
              <w:bottom w:val="nil"/>
              <w:right w:val="single" w:sz="4" w:space="0" w:color="auto"/>
            </w:tcBorders>
            <w:shd w:val="clear" w:color="auto" w:fill="auto"/>
            <w:noWrap/>
            <w:vAlign w:val="center"/>
            <w:hideMark/>
          </w:tcPr>
          <w:p w14:paraId="0A841D25" w14:textId="0B7AB849"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p>
        </w:tc>
      </w:tr>
      <w:tr w:rsidR="00307721" w:rsidRPr="00307721" w14:paraId="69AC5092" w14:textId="77777777" w:rsidTr="00307721">
        <w:trPr>
          <w:trHeight w:val="300"/>
        </w:trPr>
        <w:tc>
          <w:tcPr>
            <w:tcW w:w="1560" w:type="dxa"/>
            <w:tcBorders>
              <w:top w:val="nil"/>
              <w:left w:val="nil"/>
              <w:bottom w:val="nil"/>
              <w:right w:val="nil"/>
            </w:tcBorders>
            <w:shd w:val="clear" w:color="auto" w:fill="auto"/>
            <w:noWrap/>
            <w:vAlign w:val="bottom"/>
            <w:hideMark/>
          </w:tcPr>
          <w:p w14:paraId="156A4590" w14:textId="77777777" w:rsidR="00307721" w:rsidRPr="00307721" w:rsidRDefault="00307721" w:rsidP="00307721">
            <w:pPr>
              <w:spacing w:after="0" w:line="240" w:lineRule="auto"/>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 xml:space="preserve">  Discharged</w:t>
            </w:r>
          </w:p>
        </w:tc>
        <w:tc>
          <w:tcPr>
            <w:tcW w:w="1559" w:type="dxa"/>
            <w:tcBorders>
              <w:top w:val="nil"/>
              <w:left w:val="nil"/>
              <w:bottom w:val="nil"/>
              <w:right w:val="nil"/>
            </w:tcBorders>
            <w:shd w:val="clear" w:color="auto" w:fill="auto"/>
            <w:noWrap/>
            <w:vAlign w:val="center"/>
            <w:hideMark/>
          </w:tcPr>
          <w:p w14:paraId="28FB5724" w14:textId="7D7C9EDC" w:rsidR="00307721" w:rsidRPr="00307721" w:rsidRDefault="00900813"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594/1,044 (57</w:t>
            </w:r>
            <w:r w:rsidR="00307721" w:rsidRPr="00307721">
              <w:rPr>
                <w:rFonts w:ascii="Arial" w:eastAsia="Times New Roman" w:hAnsi="Arial" w:cs="Arial"/>
                <w:color w:val="000000"/>
                <w:sz w:val="16"/>
                <w:szCs w:val="16"/>
                <w:lang w:val="en-GB" w:eastAsia="en-GB"/>
              </w:rPr>
              <w:t>)</w:t>
            </w:r>
          </w:p>
        </w:tc>
        <w:tc>
          <w:tcPr>
            <w:tcW w:w="1559" w:type="dxa"/>
            <w:tcBorders>
              <w:top w:val="nil"/>
              <w:left w:val="nil"/>
              <w:bottom w:val="nil"/>
              <w:right w:val="single" w:sz="4" w:space="0" w:color="auto"/>
            </w:tcBorders>
            <w:shd w:val="clear" w:color="auto" w:fill="auto"/>
            <w:noWrap/>
            <w:vAlign w:val="center"/>
            <w:hideMark/>
          </w:tcPr>
          <w:p w14:paraId="4D4AD1E6" w14:textId="23C0536B" w:rsidR="00307721" w:rsidRPr="00307721" w:rsidRDefault="00900813"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1,886/2,561 (74</w:t>
            </w:r>
            <w:r w:rsidR="00307721" w:rsidRPr="00307721">
              <w:rPr>
                <w:rFonts w:ascii="Arial" w:eastAsia="Times New Roman" w:hAnsi="Arial" w:cs="Arial"/>
                <w:color w:val="000000"/>
                <w:sz w:val="16"/>
                <w:szCs w:val="16"/>
                <w:lang w:val="en-GB" w:eastAsia="en-GB"/>
              </w:rPr>
              <w:t>)</w:t>
            </w:r>
          </w:p>
        </w:tc>
        <w:tc>
          <w:tcPr>
            <w:tcW w:w="1276" w:type="dxa"/>
            <w:tcBorders>
              <w:top w:val="nil"/>
              <w:left w:val="single" w:sz="4" w:space="0" w:color="auto"/>
              <w:bottom w:val="nil"/>
              <w:right w:val="nil"/>
            </w:tcBorders>
            <w:shd w:val="clear" w:color="auto" w:fill="auto"/>
            <w:noWrap/>
            <w:vAlign w:val="center"/>
            <w:hideMark/>
          </w:tcPr>
          <w:p w14:paraId="4A634BE1" w14:textId="77777777"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Reference</w:t>
            </w:r>
          </w:p>
        </w:tc>
        <w:tc>
          <w:tcPr>
            <w:tcW w:w="626" w:type="dxa"/>
            <w:tcBorders>
              <w:top w:val="nil"/>
              <w:left w:val="nil"/>
              <w:bottom w:val="nil"/>
              <w:right w:val="single" w:sz="4" w:space="0" w:color="auto"/>
            </w:tcBorders>
            <w:shd w:val="clear" w:color="auto" w:fill="auto"/>
            <w:noWrap/>
            <w:vAlign w:val="center"/>
            <w:hideMark/>
          </w:tcPr>
          <w:p w14:paraId="5E62E315" w14:textId="6B770536"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w:t>
            </w:r>
          </w:p>
        </w:tc>
        <w:tc>
          <w:tcPr>
            <w:tcW w:w="1358" w:type="dxa"/>
            <w:tcBorders>
              <w:top w:val="nil"/>
              <w:left w:val="single" w:sz="4" w:space="0" w:color="auto"/>
              <w:bottom w:val="nil"/>
              <w:right w:val="nil"/>
            </w:tcBorders>
            <w:shd w:val="clear" w:color="auto" w:fill="auto"/>
            <w:noWrap/>
            <w:vAlign w:val="center"/>
            <w:hideMark/>
          </w:tcPr>
          <w:p w14:paraId="12AE8F7F" w14:textId="77777777"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Reference</w:t>
            </w:r>
          </w:p>
        </w:tc>
        <w:tc>
          <w:tcPr>
            <w:tcW w:w="626" w:type="dxa"/>
            <w:tcBorders>
              <w:top w:val="nil"/>
              <w:left w:val="nil"/>
              <w:bottom w:val="nil"/>
              <w:right w:val="single" w:sz="4" w:space="0" w:color="auto"/>
            </w:tcBorders>
            <w:shd w:val="clear" w:color="auto" w:fill="auto"/>
            <w:noWrap/>
            <w:vAlign w:val="center"/>
            <w:hideMark/>
          </w:tcPr>
          <w:p w14:paraId="4DC3C012" w14:textId="113F9450" w:rsidR="00307721" w:rsidRPr="00307721" w:rsidRDefault="00307721"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w:t>
            </w:r>
          </w:p>
        </w:tc>
      </w:tr>
      <w:tr w:rsidR="00307721" w:rsidRPr="00307721" w14:paraId="5B21548A" w14:textId="77777777" w:rsidTr="00307721">
        <w:trPr>
          <w:trHeight w:val="300"/>
        </w:trPr>
        <w:tc>
          <w:tcPr>
            <w:tcW w:w="1560" w:type="dxa"/>
            <w:tcBorders>
              <w:top w:val="nil"/>
              <w:left w:val="nil"/>
              <w:bottom w:val="nil"/>
              <w:right w:val="nil"/>
            </w:tcBorders>
            <w:shd w:val="clear" w:color="auto" w:fill="auto"/>
            <w:noWrap/>
            <w:vAlign w:val="bottom"/>
            <w:hideMark/>
          </w:tcPr>
          <w:p w14:paraId="129BEFAC" w14:textId="77777777" w:rsidR="00307721" w:rsidRPr="00307721" w:rsidRDefault="00307721" w:rsidP="00307721">
            <w:pPr>
              <w:spacing w:after="0" w:line="240" w:lineRule="auto"/>
              <w:rPr>
                <w:rFonts w:ascii="Arial" w:eastAsia="Times New Roman" w:hAnsi="Arial" w:cs="Arial"/>
                <w:color w:val="000000"/>
                <w:sz w:val="16"/>
                <w:szCs w:val="16"/>
                <w:lang w:val="en-GB" w:eastAsia="en-GB"/>
              </w:rPr>
            </w:pPr>
            <w:r w:rsidRPr="00307721">
              <w:rPr>
                <w:rFonts w:ascii="Arial" w:eastAsia="Times New Roman" w:hAnsi="Arial" w:cs="Arial"/>
                <w:color w:val="000000"/>
                <w:sz w:val="16"/>
                <w:szCs w:val="16"/>
                <w:lang w:val="en-GB" w:eastAsia="en-GB"/>
              </w:rPr>
              <w:t xml:space="preserve">  Died</w:t>
            </w:r>
          </w:p>
        </w:tc>
        <w:tc>
          <w:tcPr>
            <w:tcW w:w="1559" w:type="dxa"/>
            <w:tcBorders>
              <w:top w:val="nil"/>
              <w:left w:val="nil"/>
              <w:bottom w:val="nil"/>
              <w:right w:val="nil"/>
            </w:tcBorders>
            <w:shd w:val="clear" w:color="auto" w:fill="auto"/>
            <w:noWrap/>
            <w:vAlign w:val="center"/>
            <w:hideMark/>
          </w:tcPr>
          <w:p w14:paraId="03464BEA" w14:textId="07129336" w:rsidR="00307721" w:rsidRPr="00307721" w:rsidRDefault="00900813"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450/1,044 (43</w:t>
            </w:r>
            <w:r w:rsidR="00307721" w:rsidRPr="00307721">
              <w:rPr>
                <w:rFonts w:ascii="Arial" w:eastAsia="Times New Roman" w:hAnsi="Arial" w:cs="Arial"/>
                <w:color w:val="000000"/>
                <w:sz w:val="16"/>
                <w:szCs w:val="16"/>
                <w:lang w:val="en-GB" w:eastAsia="en-GB"/>
              </w:rPr>
              <w:t>)</w:t>
            </w:r>
          </w:p>
        </w:tc>
        <w:tc>
          <w:tcPr>
            <w:tcW w:w="1559" w:type="dxa"/>
            <w:tcBorders>
              <w:top w:val="nil"/>
              <w:left w:val="nil"/>
              <w:bottom w:val="nil"/>
              <w:right w:val="single" w:sz="4" w:space="0" w:color="auto"/>
            </w:tcBorders>
            <w:shd w:val="clear" w:color="auto" w:fill="auto"/>
            <w:noWrap/>
            <w:vAlign w:val="center"/>
            <w:hideMark/>
          </w:tcPr>
          <w:p w14:paraId="3ADB0CDA" w14:textId="753701D4" w:rsidR="00307721" w:rsidRPr="00307721" w:rsidRDefault="00900813" w:rsidP="00307721">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675/2,561 (26</w:t>
            </w:r>
            <w:r w:rsidR="00307721" w:rsidRPr="00307721">
              <w:rPr>
                <w:rFonts w:ascii="Arial" w:eastAsia="Times New Roman" w:hAnsi="Arial" w:cs="Arial"/>
                <w:color w:val="000000"/>
                <w:sz w:val="16"/>
                <w:szCs w:val="16"/>
                <w:lang w:val="en-GB" w:eastAsia="en-GB"/>
              </w:rPr>
              <w:t>)</w:t>
            </w:r>
          </w:p>
        </w:tc>
        <w:tc>
          <w:tcPr>
            <w:tcW w:w="1276" w:type="dxa"/>
            <w:tcBorders>
              <w:top w:val="nil"/>
              <w:left w:val="single" w:sz="4" w:space="0" w:color="auto"/>
              <w:bottom w:val="nil"/>
              <w:right w:val="nil"/>
            </w:tcBorders>
            <w:shd w:val="clear" w:color="auto" w:fill="auto"/>
            <w:noWrap/>
            <w:vAlign w:val="center"/>
            <w:hideMark/>
          </w:tcPr>
          <w:p w14:paraId="0088CD8F"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2.1 (1.8-2.5)</w:t>
            </w:r>
          </w:p>
        </w:tc>
        <w:tc>
          <w:tcPr>
            <w:tcW w:w="626" w:type="dxa"/>
            <w:tcBorders>
              <w:top w:val="nil"/>
              <w:left w:val="nil"/>
              <w:bottom w:val="nil"/>
              <w:right w:val="single" w:sz="4" w:space="0" w:color="auto"/>
            </w:tcBorders>
            <w:shd w:val="clear" w:color="auto" w:fill="auto"/>
            <w:noWrap/>
            <w:vAlign w:val="center"/>
            <w:hideMark/>
          </w:tcPr>
          <w:p w14:paraId="1B42A092"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&lt;0.01</w:t>
            </w:r>
          </w:p>
        </w:tc>
        <w:tc>
          <w:tcPr>
            <w:tcW w:w="1358" w:type="dxa"/>
            <w:tcBorders>
              <w:top w:val="nil"/>
              <w:left w:val="single" w:sz="4" w:space="0" w:color="auto"/>
              <w:bottom w:val="nil"/>
              <w:right w:val="nil"/>
            </w:tcBorders>
            <w:shd w:val="clear" w:color="auto" w:fill="auto"/>
            <w:noWrap/>
            <w:vAlign w:val="center"/>
            <w:hideMark/>
          </w:tcPr>
          <w:p w14:paraId="6616CEAA"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4.3 (3.2-5.6)</w:t>
            </w:r>
          </w:p>
        </w:tc>
        <w:tc>
          <w:tcPr>
            <w:tcW w:w="626" w:type="dxa"/>
            <w:tcBorders>
              <w:top w:val="nil"/>
              <w:left w:val="nil"/>
              <w:bottom w:val="nil"/>
              <w:right w:val="single" w:sz="4" w:space="0" w:color="auto"/>
            </w:tcBorders>
            <w:shd w:val="clear" w:color="auto" w:fill="auto"/>
            <w:noWrap/>
            <w:vAlign w:val="center"/>
            <w:hideMark/>
          </w:tcPr>
          <w:p w14:paraId="14033BFF" w14:textId="77777777" w:rsidR="00307721" w:rsidRPr="00307721" w:rsidRDefault="00307721" w:rsidP="00307721">
            <w:pPr>
              <w:spacing w:after="0" w:line="240" w:lineRule="auto"/>
              <w:jc w:val="center"/>
              <w:rPr>
                <w:rFonts w:ascii="Arial" w:eastAsia="Times New Roman" w:hAnsi="Arial" w:cs="Arial"/>
                <w:b/>
                <w:color w:val="000000"/>
                <w:sz w:val="16"/>
                <w:szCs w:val="16"/>
                <w:lang w:val="en-GB" w:eastAsia="en-GB"/>
              </w:rPr>
            </w:pPr>
            <w:r w:rsidRPr="00307721">
              <w:rPr>
                <w:rFonts w:ascii="Arial" w:eastAsia="Times New Roman" w:hAnsi="Arial" w:cs="Arial"/>
                <w:b/>
                <w:color w:val="000000"/>
                <w:sz w:val="16"/>
                <w:szCs w:val="16"/>
                <w:lang w:val="en-GB" w:eastAsia="en-GB"/>
              </w:rPr>
              <w:t>&lt;0.01</w:t>
            </w:r>
          </w:p>
        </w:tc>
      </w:tr>
    </w:tbl>
    <w:p w14:paraId="48CEDA52" w14:textId="3C0AA194" w:rsidR="0012195E" w:rsidRPr="008A4076" w:rsidRDefault="00900286" w:rsidP="0012195E">
      <w:pPr>
        <w:pStyle w:val="EndNoteBibliography"/>
        <w:spacing w:before="240" w:after="0" w:line="360" w:lineRule="auto"/>
        <w:rPr>
          <w:rStyle w:val="Hyperlink"/>
          <w:sz w:val="28"/>
        </w:rPr>
      </w:pPr>
      <w:r w:rsidRPr="00900286">
        <w:rPr>
          <w:color w:val="000000" w:themeColor="text1"/>
          <w:sz w:val="16"/>
          <w:szCs w:val="20"/>
        </w:rPr>
        <w:t>OR-odds ratio, 95%CI-95% confidence interval</w:t>
      </w:r>
      <w:r w:rsidRPr="00900286">
        <w:rPr>
          <w:color w:val="000000" w:themeColor="text1"/>
          <w:sz w:val="16"/>
          <w:szCs w:val="20"/>
          <w:vertAlign w:val="superscript"/>
        </w:rPr>
        <w:t xml:space="preserve"> </w:t>
      </w:r>
      <w:r w:rsidR="006F2AA8" w:rsidRPr="006F2AA8">
        <w:rPr>
          <w:color w:val="000000" w:themeColor="text1"/>
          <w:sz w:val="16"/>
          <w:szCs w:val="20"/>
          <w:vertAlign w:val="superscript"/>
        </w:rPr>
        <w:t>a</w:t>
      </w:r>
      <w:r w:rsidR="0012195E" w:rsidRPr="008A4076">
        <w:rPr>
          <w:color w:val="000000" w:themeColor="text1"/>
          <w:sz w:val="16"/>
          <w:szCs w:val="20"/>
        </w:rPr>
        <w:t xml:space="preserve"> Serotype groups classified by 13-valent pneumococcal conjugate vaccine. Non-PCV: all serotypes not in PCV13, compared to serotypes in PCV13-4, 6B, 9V, 14, 18C, 19F, 23F, 1, 3, 5, 7F and 19A. </w:t>
      </w:r>
      <w:r w:rsidR="006F2AA8" w:rsidRPr="006F2AA8">
        <w:rPr>
          <w:color w:val="000000" w:themeColor="text1"/>
          <w:sz w:val="16"/>
          <w:szCs w:val="20"/>
          <w:vertAlign w:val="superscript"/>
        </w:rPr>
        <w:t>b</w:t>
      </w:r>
      <w:r w:rsidR="0012195E" w:rsidRPr="008A4076">
        <w:rPr>
          <w:color w:val="000000" w:themeColor="text1"/>
          <w:sz w:val="16"/>
          <w:szCs w:val="20"/>
        </w:rPr>
        <w:t xml:space="preserve"> Pre-disposing conditions defined as any one or more of the following:</w:t>
      </w:r>
      <w:r w:rsidR="0012195E" w:rsidRPr="008A4076">
        <w:rPr>
          <w:color w:val="000000" w:themeColor="text1"/>
          <w:sz w:val="20"/>
        </w:rPr>
        <w:t xml:space="preserve"> </w:t>
      </w:r>
      <w:r w:rsidR="0012195E" w:rsidRPr="008A4076">
        <w:rPr>
          <w:color w:val="000000" w:themeColor="text1"/>
          <w:sz w:val="16"/>
          <w:szCs w:val="20"/>
        </w:rPr>
        <w:t>burns, chronic lung disease (including asthma, chronic obstructive pulmonary disorder, cystic fibrosis), chronic liver disease, chronic renal disease, cardiac conditions (including valvular disease and heart failure), cerebrovascular accident, stroke, neuromuscular diseases, cerebral palsy, metabolic diseases (including diabetes mellitus), head injury, surgery, cerebrospinal fluid leaks, ventricular shunts, cochlear implants, primary immunodeficiency conditions, complement deficiency, immunosuppression treatment (steroids/chemo/cancer treatment) protein-energy malnutrition, functional or anatomic asplenia (including sickle cell disease), malignancy, organ transplant, chromosomal conditions (including down syndrome), prematurity and aplastic anaemia.</w:t>
      </w:r>
    </w:p>
    <w:p w14:paraId="6FB6D385" w14:textId="77777777" w:rsidR="002F6E14" w:rsidRDefault="002F6E14" w:rsidP="00881F21">
      <w:pPr>
        <w:pStyle w:val="EndNoteBibliography"/>
        <w:spacing w:after="0" w:line="360" w:lineRule="auto"/>
        <w:rPr>
          <w:rStyle w:val="Hyperlink"/>
        </w:rPr>
      </w:pPr>
    </w:p>
    <w:p w14:paraId="46783A19" w14:textId="0D59AC7F" w:rsidR="002F6E14" w:rsidRDefault="002F6E14" w:rsidP="00881F21">
      <w:pPr>
        <w:pStyle w:val="EndNoteBibliography"/>
        <w:spacing w:after="0" w:line="360" w:lineRule="auto"/>
        <w:rPr>
          <w:rStyle w:val="Hyperlink"/>
        </w:rPr>
      </w:pPr>
    </w:p>
    <w:p w14:paraId="443B4EB1" w14:textId="3246ABE0" w:rsidR="002F6E14" w:rsidRDefault="002F6E14" w:rsidP="00881F21">
      <w:pPr>
        <w:pStyle w:val="EndNoteBibliography"/>
        <w:spacing w:after="0" w:line="360" w:lineRule="auto"/>
        <w:rPr>
          <w:rStyle w:val="Hyperlink"/>
        </w:rPr>
      </w:pPr>
    </w:p>
    <w:p w14:paraId="5C3C8677" w14:textId="18FF781F" w:rsidR="002F6E14" w:rsidRDefault="002F6E14" w:rsidP="00881F21">
      <w:pPr>
        <w:pStyle w:val="EndNoteBibliography"/>
        <w:spacing w:after="0" w:line="360" w:lineRule="auto"/>
        <w:rPr>
          <w:rStyle w:val="Hyperlink"/>
        </w:rPr>
      </w:pPr>
    </w:p>
    <w:p w14:paraId="1BAFFE87" w14:textId="77777777" w:rsidR="002F6E14" w:rsidRPr="00125C72" w:rsidRDefault="002F6E14" w:rsidP="00881F21">
      <w:pPr>
        <w:pStyle w:val="EndNoteBibliography"/>
        <w:spacing w:after="0" w:line="360" w:lineRule="auto"/>
        <w:rPr>
          <w:rStyle w:val="Hyperlink"/>
          <w:b/>
          <w:sz w:val="18"/>
          <w:szCs w:val="18"/>
        </w:rPr>
      </w:pPr>
    </w:p>
    <w:p w14:paraId="0EBD6BD7" w14:textId="77777777" w:rsidR="007F0441" w:rsidRDefault="007F0441" w:rsidP="00312BFB">
      <w:pPr>
        <w:pStyle w:val="Heading1"/>
        <w:sectPr w:rsidR="007F0441" w:rsidSect="002F6E14">
          <w:pgSz w:w="11906" w:h="16838"/>
          <w:pgMar w:top="1440" w:right="1134" w:bottom="1440" w:left="1440" w:header="708" w:footer="708" w:gutter="0"/>
          <w:cols w:space="708"/>
          <w:docGrid w:linePitch="360"/>
        </w:sectPr>
      </w:pPr>
      <w:bookmarkStart w:id="1" w:name="_Toc494815638"/>
      <w:bookmarkStart w:id="2" w:name="_Toc494866681"/>
      <w:bookmarkStart w:id="3" w:name="_Toc494866825"/>
    </w:p>
    <w:p w14:paraId="175388E9" w14:textId="5ABC8EC1" w:rsidR="00312BFB" w:rsidRPr="00881F21" w:rsidRDefault="00312BFB" w:rsidP="00312BFB">
      <w:pPr>
        <w:pStyle w:val="Heading1"/>
      </w:pPr>
      <w:r w:rsidRPr="00881F21">
        <w:lastRenderedPageBreak/>
        <w:t>List of GERMS-SA collaborators</w:t>
      </w:r>
      <w:bookmarkEnd w:id="1"/>
      <w:bookmarkEnd w:id="2"/>
      <w:bookmarkEnd w:id="3"/>
      <w:r>
        <w:t xml:space="preserve"> 2005-2016</w:t>
      </w:r>
      <w:r w:rsidRPr="00881F21">
        <w:t xml:space="preserve"> </w:t>
      </w:r>
    </w:p>
    <w:p w14:paraId="30FB0187" w14:textId="7AB80F42" w:rsidR="00F16732" w:rsidRPr="00900813" w:rsidRDefault="00312BFB" w:rsidP="00312BFB">
      <w:pPr>
        <w:spacing w:line="480" w:lineRule="auto"/>
        <w:rPr>
          <w:rFonts w:ascii="Arial" w:hAnsi="Arial" w:cs="Arial"/>
          <w:sz w:val="20"/>
        </w:rPr>
      </w:pPr>
      <w:proofErr w:type="spellStart"/>
      <w:r w:rsidRPr="00900813">
        <w:rPr>
          <w:rFonts w:ascii="Arial" w:hAnsi="Arial" w:cs="Arial"/>
          <w:sz w:val="20"/>
        </w:rPr>
        <w:t>Adhil</w:t>
      </w:r>
      <w:proofErr w:type="spellEnd"/>
      <w:r w:rsidRPr="00900813">
        <w:rPr>
          <w:rFonts w:ascii="Arial" w:hAnsi="Arial" w:cs="Arial"/>
          <w:sz w:val="20"/>
        </w:rPr>
        <w:t xml:space="preserve"> </w:t>
      </w:r>
      <w:proofErr w:type="spellStart"/>
      <w:r w:rsidRPr="00900813">
        <w:rPr>
          <w:rFonts w:ascii="Arial" w:hAnsi="Arial" w:cs="Arial"/>
          <w:sz w:val="20"/>
        </w:rPr>
        <w:t>Maharj</w:t>
      </w:r>
      <w:proofErr w:type="spellEnd"/>
      <w:r w:rsidRPr="00900813">
        <w:rPr>
          <w:rFonts w:ascii="Arial" w:hAnsi="Arial" w:cs="Arial"/>
          <w:sz w:val="20"/>
        </w:rPr>
        <w:t>, Adrian Brink (</w:t>
      </w:r>
      <w:proofErr w:type="spellStart"/>
      <w:r w:rsidRPr="00900813">
        <w:rPr>
          <w:rFonts w:ascii="Arial" w:hAnsi="Arial" w:cs="Arial"/>
          <w:sz w:val="20"/>
        </w:rPr>
        <w:t>Ampath</w:t>
      </w:r>
      <w:proofErr w:type="spellEnd"/>
      <w:r w:rsidRPr="00900813">
        <w:rPr>
          <w:rFonts w:ascii="Arial" w:hAnsi="Arial" w:cs="Arial"/>
          <w:sz w:val="20"/>
        </w:rPr>
        <w:t xml:space="preserve"> laboratories), Adrian Duse, Alan </w:t>
      </w:r>
      <w:proofErr w:type="spellStart"/>
      <w:r w:rsidRPr="00900813">
        <w:rPr>
          <w:rFonts w:ascii="Arial" w:hAnsi="Arial" w:cs="Arial"/>
          <w:sz w:val="20"/>
        </w:rPr>
        <w:t>Karstaedt</w:t>
      </w:r>
      <w:proofErr w:type="spellEnd"/>
      <w:r w:rsidRPr="00900813">
        <w:rPr>
          <w:rFonts w:ascii="Arial" w:hAnsi="Arial" w:cs="Arial"/>
          <w:sz w:val="20"/>
        </w:rPr>
        <w:t xml:space="preserve">, Ananta </w:t>
      </w:r>
      <w:proofErr w:type="spellStart"/>
      <w:r w:rsidRPr="00900813">
        <w:rPr>
          <w:rFonts w:ascii="Arial" w:hAnsi="Arial" w:cs="Arial"/>
          <w:sz w:val="20"/>
        </w:rPr>
        <w:t>Nanoo</w:t>
      </w:r>
      <w:proofErr w:type="spellEnd"/>
      <w:r w:rsidRPr="00900813">
        <w:rPr>
          <w:rFonts w:ascii="Arial" w:hAnsi="Arial" w:cs="Arial"/>
          <w:sz w:val="20"/>
        </w:rPr>
        <w:t xml:space="preserve">, Andre Moller (Free State), Andrew </w:t>
      </w:r>
      <w:proofErr w:type="spellStart"/>
      <w:r w:rsidRPr="00900813">
        <w:rPr>
          <w:rFonts w:ascii="Arial" w:hAnsi="Arial" w:cs="Arial"/>
          <w:sz w:val="20"/>
        </w:rPr>
        <w:t>Rampe</w:t>
      </w:r>
      <w:proofErr w:type="spellEnd"/>
      <w:r w:rsidRPr="00900813">
        <w:rPr>
          <w:rFonts w:ascii="Arial" w:hAnsi="Arial" w:cs="Arial"/>
          <w:sz w:val="20"/>
        </w:rPr>
        <w:t xml:space="preserve"> (North West), Andrew Whitelaw (Western cape), </w:t>
      </w:r>
      <w:proofErr w:type="spellStart"/>
      <w:r w:rsidRPr="00900813">
        <w:rPr>
          <w:rFonts w:ascii="Arial" w:hAnsi="Arial" w:cs="Arial"/>
          <w:sz w:val="20"/>
        </w:rPr>
        <w:t>Andries</w:t>
      </w:r>
      <w:proofErr w:type="spellEnd"/>
      <w:r w:rsidRPr="00900813">
        <w:rPr>
          <w:rFonts w:ascii="Arial" w:hAnsi="Arial" w:cs="Arial"/>
          <w:sz w:val="20"/>
        </w:rPr>
        <w:t xml:space="preserve"> Dreyer, Angela </w:t>
      </w:r>
      <w:proofErr w:type="spellStart"/>
      <w:r w:rsidRPr="00900813">
        <w:rPr>
          <w:rFonts w:ascii="Arial" w:hAnsi="Arial" w:cs="Arial"/>
          <w:sz w:val="20"/>
        </w:rPr>
        <w:t>Ahlquist</w:t>
      </w:r>
      <w:proofErr w:type="spellEnd"/>
      <w:r w:rsidRPr="00900813">
        <w:rPr>
          <w:rFonts w:ascii="Arial" w:hAnsi="Arial" w:cs="Arial"/>
          <w:sz w:val="20"/>
        </w:rPr>
        <w:t xml:space="preserve">, </w:t>
      </w:r>
      <w:proofErr w:type="spellStart"/>
      <w:r w:rsidRPr="00900813">
        <w:rPr>
          <w:rFonts w:ascii="Arial" w:hAnsi="Arial" w:cs="Arial"/>
          <w:sz w:val="20"/>
        </w:rPr>
        <w:t>Angeliki</w:t>
      </w:r>
      <w:proofErr w:type="spellEnd"/>
      <w:r w:rsidRPr="00900813">
        <w:rPr>
          <w:rFonts w:ascii="Arial" w:hAnsi="Arial" w:cs="Arial"/>
          <w:sz w:val="20"/>
        </w:rPr>
        <w:t xml:space="preserve"> Messina, Anne </w:t>
      </w:r>
      <w:proofErr w:type="spellStart"/>
      <w:r w:rsidRPr="00900813">
        <w:rPr>
          <w:rFonts w:ascii="Arial" w:hAnsi="Arial" w:cs="Arial"/>
          <w:sz w:val="20"/>
        </w:rPr>
        <w:t>Schuchat</w:t>
      </w:r>
      <w:proofErr w:type="spellEnd"/>
      <w:r w:rsidRPr="00900813">
        <w:rPr>
          <w:rFonts w:ascii="Arial" w:hAnsi="Arial" w:cs="Arial"/>
          <w:sz w:val="20"/>
        </w:rPr>
        <w:t xml:space="preserve">, Anne von Gottberg, Anne-Marie Pretorius (Free State), Anthony Smith, Anwar </w:t>
      </w:r>
      <w:proofErr w:type="spellStart"/>
      <w:r w:rsidRPr="00900813">
        <w:rPr>
          <w:rFonts w:ascii="Arial" w:hAnsi="Arial" w:cs="Arial"/>
          <w:sz w:val="20"/>
        </w:rPr>
        <w:t>Hoosen</w:t>
      </w:r>
      <w:proofErr w:type="spellEnd"/>
      <w:r w:rsidRPr="00900813">
        <w:rPr>
          <w:rFonts w:ascii="Arial" w:hAnsi="Arial" w:cs="Arial"/>
          <w:sz w:val="20"/>
        </w:rPr>
        <w:t xml:space="preserve">, </w:t>
      </w:r>
      <w:proofErr w:type="spellStart"/>
      <w:r w:rsidRPr="00900813">
        <w:rPr>
          <w:rFonts w:ascii="Arial" w:hAnsi="Arial" w:cs="Arial"/>
          <w:sz w:val="20"/>
        </w:rPr>
        <w:t>Arvinda</w:t>
      </w:r>
      <w:proofErr w:type="spellEnd"/>
      <w:r w:rsidRPr="00900813">
        <w:rPr>
          <w:rFonts w:ascii="Arial" w:hAnsi="Arial" w:cs="Arial"/>
          <w:sz w:val="20"/>
        </w:rPr>
        <w:t xml:space="preserve"> </w:t>
      </w:r>
      <w:proofErr w:type="spellStart"/>
      <w:r w:rsidRPr="00900813">
        <w:rPr>
          <w:rFonts w:ascii="Arial" w:hAnsi="Arial" w:cs="Arial"/>
          <w:sz w:val="20"/>
        </w:rPr>
        <w:t>Sooka</w:t>
      </w:r>
      <w:proofErr w:type="spellEnd"/>
      <w:r w:rsidRPr="00900813">
        <w:rPr>
          <w:rFonts w:ascii="Arial" w:hAnsi="Arial" w:cs="Arial"/>
          <w:sz w:val="20"/>
        </w:rPr>
        <w:t xml:space="preserve">, </w:t>
      </w:r>
      <w:proofErr w:type="spellStart"/>
      <w:r w:rsidRPr="00900813">
        <w:rPr>
          <w:rFonts w:ascii="Arial" w:hAnsi="Arial" w:cs="Arial"/>
          <w:sz w:val="20"/>
        </w:rPr>
        <w:t>Asmeeta</w:t>
      </w:r>
      <w:proofErr w:type="spellEnd"/>
      <w:r w:rsidRPr="00900813">
        <w:rPr>
          <w:rFonts w:ascii="Arial" w:hAnsi="Arial" w:cs="Arial"/>
          <w:sz w:val="20"/>
        </w:rPr>
        <w:t xml:space="preserve"> Burra, </w:t>
      </w:r>
      <w:proofErr w:type="spellStart"/>
      <w:r w:rsidRPr="00900813">
        <w:rPr>
          <w:rFonts w:ascii="Arial" w:hAnsi="Arial" w:cs="Arial"/>
          <w:sz w:val="20"/>
        </w:rPr>
        <w:t>Babatyi</w:t>
      </w:r>
      <w:proofErr w:type="spellEnd"/>
      <w:r w:rsidRPr="00900813">
        <w:rPr>
          <w:rFonts w:ascii="Arial" w:hAnsi="Arial" w:cs="Arial"/>
          <w:sz w:val="20"/>
        </w:rPr>
        <w:t xml:space="preserve"> </w:t>
      </w:r>
      <w:proofErr w:type="spellStart"/>
      <w:r w:rsidRPr="00900813">
        <w:rPr>
          <w:rFonts w:ascii="Arial" w:hAnsi="Arial" w:cs="Arial"/>
          <w:sz w:val="20"/>
        </w:rPr>
        <w:t>Kgokong</w:t>
      </w:r>
      <w:proofErr w:type="spellEnd"/>
      <w:r w:rsidRPr="00900813">
        <w:rPr>
          <w:rFonts w:ascii="Arial" w:hAnsi="Arial" w:cs="Arial"/>
          <w:sz w:val="20"/>
        </w:rPr>
        <w:t xml:space="preserve">, Barry Spies (Mpumalanga), Ben </w:t>
      </w:r>
      <w:proofErr w:type="spellStart"/>
      <w:r w:rsidRPr="00900813">
        <w:rPr>
          <w:rFonts w:ascii="Arial" w:hAnsi="Arial" w:cs="Arial"/>
          <w:sz w:val="20"/>
        </w:rPr>
        <w:t>Prinsloo</w:t>
      </w:r>
      <w:proofErr w:type="spellEnd"/>
      <w:r w:rsidRPr="00900813">
        <w:rPr>
          <w:rFonts w:ascii="Arial" w:hAnsi="Arial" w:cs="Arial"/>
          <w:sz w:val="20"/>
        </w:rPr>
        <w:t xml:space="preserve"> (LANCET laboratories), </w:t>
      </w:r>
      <w:proofErr w:type="spellStart"/>
      <w:r w:rsidRPr="00900813">
        <w:rPr>
          <w:rFonts w:ascii="Arial" w:hAnsi="Arial" w:cs="Arial"/>
          <w:sz w:val="20"/>
        </w:rPr>
        <w:t>Bhavani</w:t>
      </w:r>
      <w:proofErr w:type="spellEnd"/>
      <w:r w:rsidRPr="00900813">
        <w:rPr>
          <w:rFonts w:ascii="Arial" w:hAnsi="Arial" w:cs="Arial"/>
          <w:sz w:val="20"/>
        </w:rPr>
        <w:t xml:space="preserve"> </w:t>
      </w:r>
      <w:proofErr w:type="spellStart"/>
      <w:r w:rsidRPr="00900813">
        <w:rPr>
          <w:rFonts w:ascii="Arial" w:hAnsi="Arial" w:cs="Arial"/>
          <w:sz w:val="20"/>
        </w:rPr>
        <w:t>Poonsamy</w:t>
      </w:r>
      <w:proofErr w:type="spellEnd"/>
      <w:r w:rsidRPr="00900813">
        <w:rPr>
          <w:rFonts w:ascii="Arial" w:hAnsi="Arial" w:cs="Arial"/>
          <w:sz w:val="20"/>
        </w:rPr>
        <w:t xml:space="preserve">, Bonnie </w:t>
      </w:r>
      <w:proofErr w:type="spellStart"/>
      <w:r w:rsidRPr="00900813">
        <w:rPr>
          <w:rFonts w:ascii="Arial" w:hAnsi="Arial" w:cs="Arial"/>
          <w:sz w:val="20"/>
        </w:rPr>
        <w:t>Maloba</w:t>
      </w:r>
      <w:proofErr w:type="spellEnd"/>
      <w:r w:rsidRPr="00900813">
        <w:rPr>
          <w:rFonts w:ascii="Arial" w:hAnsi="Arial" w:cs="Arial"/>
          <w:sz w:val="20"/>
        </w:rPr>
        <w:t xml:space="preserve">, Brian </w:t>
      </w:r>
      <w:proofErr w:type="spellStart"/>
      <w:r w:rsidRPr="00900813">
        <w:rPr>
          <w:rFonts w:ascii="Arial" w:hAnsi="Arial" w:cs="Arial"/>
          <w:sz w:val="20"/>
        </w:rPr>
        <w:t>Eley</w:t>
      </w:r>
      <w:proofErr w:type="spellEnd"/>
      <w:r w:rsidRPr="00900813">
        <w:rPr>
          <w:rFonts w:ascii="Arial" w:hAnsi="Arial" w:cs="Arial"/>
          <w:sz w:val="20"/>
        </w:rPr>
        <w:t xml:space="preserve">, </w:t>
      </w:r>
      <w:proofErr w:type="spellStart"/>
      <w:r w:rsidRPr="00900813">
        <w:rPr>
          <w:rFonts w:ascii="Arial" w:hAnsi="Arial" w:cs="Arial"/>
          <w:sz w:val="20"/>
        </w:rPr>
        <w:t>Carel</w:t>
      </w:r>
      <w:proofErr w:type="spellEnd"/>
      <w:r w:rsidRPr="00900813">
        <w:rPr>
          <w:rFonts w:ascii="Arial" w:hAnsi="Arial" w:cs="Arial"/>
          <w:sz w:val="20"/>
        </w:rPr>
        <w:t xml:space="preserve"> </w:t>
      </w:r>
      <w:proofErr w:type="spellStart"/>
      <w:r w:rsidRPr="00900813">
        <w:rPr>
          <w:rFonts w:ascii="Arial" w:hAnsi="Arial" w:cs="Arial"/>
          <w:sz w:val="20"/>
        </w:rPr>
        <w:t>Haumann</w:t>
      </w:r>
      <w:proofErr w:type="spellEnd"/>
      <w:r w:rsidRPr="00900813">
        <w:rPr>
          <w:rFonts w:ascii="Arial" w:hAnsi="Arial" w:cs="Arial"/>
          <w:sz w:val="20"/>
        </w:rPr>
        <w:t xml:space="preserve">, Caroline </w:t>
      </w:r>
      <w:proofErr w:type="spellStart"/>
      <w:r w:rsidRPr="00900813">
        <w:rPr>
          <w:rFonts w:ascii="Arial" w:hAnsi="Arial" w:cs="Arial"/>
          <w:sz w:val="20"/>
        </w:rPr>
        <w:t>Maluleka</w:t>
      </w:r>
      <w:proofErr w:type="spellEnd"/>
      <w:r w:rsidRPr="00900813">
        <w:rPr>
          <w:rFonts w:ascii="Arial" w:hAnsi="Arial" w:cs="Arial"/>
          <w:sz w:val="20"/>
        </w:rPr>
        <w:t xml:space="preserve">, Catherine Samuel, Cecilia Miller, </w:t>
      </w:r>
      <w:proofErr w:type="spellStart"/>
      <w:r w:rsidRPr="00900813">
        <w:rPr>
          <w:rFonts w:ascii="Arial" w:hAnsi="Arial" w:cs="Arial"/>
          <w:sz w:val="20"/>
        </w:rPr>
        <w:t>Charl</w:t>
      </w:r>
      <w:proofErr w:type="spellEnd"/>
      <w:r w:rsidRPr="00900813">
        <w:rPr>
          <w:rFonts w:ascii="Arial" w:hAnsi="Arial" w:cs="Arial"/>
          <w:sz w:val="20"/>
        </w:rPr>
        <w:t xml:space="preserve"> </w:t>
      </w:r>
      <w:proofErr w:type="spellStart"/>
      <w:r w:rsidRPr="00900813">
        <w:rPr>
          <w:rFonts w:ascii="Arial" w:hAnsi="Arial" w:cs="Arial"/>
          <w:sz w:val="20"/>
        </w:rPr>
        <w:t>Verwey</w:t>
      </w:r>
      <w:proofErr w:type="spellEnd"/>
      <w:r w:rsidRPr="00900813">
        <w:rPr>
          <w:rFonts w:ascii="Arial" w:hAnsi="Arial" w:cs="Arial"/>
          <w:sz w:val="20"/>
        </w:rPr>
        <w:t xml:space="preserve">, Charles Feldman, Charles </w:t>
      </w:r>
      <w:proofErr w:type="spellStart"/>
      <w:r w:rsidRPr="00900813">
        <w:rPr>
          <w:rFonts w:ascii="Arial" w:hAnsi="Arial" w:cs="Arial"/>
          <w:sz w:val="20"/>
        </w:rPr>
        <w:t>Mutanda</w:t>
      </w:r>
      <w:proofErr w:type="spellEnd"/>
      <w:r w:rsidRPr="00900813">
        <w:rPr>
          <w:rFonts w:ascii="Arial" w:hAnsi="Arial" w:cs="Arial"/>
          <w:sz w:val="20"/>
        </w:rPr>
        <w:t xml:space="preserve">, Charlotte </w:t>
      </w:r>
      <w:proofErr w:type="spellStart"/>
      <w:r w:rsidRPr="00900813">
        <w:rPr>
          <w:rFonts w:ascii="Arial" w:hAnsi="Arial" w:cs="Arial"/>
          <w:sz w:val="20"/>
        </w:rPr>
        <w:t>Sriruttan</w:t>
      </w:r>
      <w:proofErr w:type="spellEnd"/>
      <w:r w:rsidRPr="00900813">
        <w:rPr>
          <w:rFonts w:ascii="Arial" w:hAnsi="Arial" w:cs="Arial"/>
          <w:sz w:val="20"/>
        </w:rPr>
        <w:t xml:space="preserve">, Cheryl Cohen, </w:t>
      </w:r>
      <w:proofErr w:type="spellStart"/>
      <w:r w:rsidRPr="00900813">
        <w:rPr>
          <w:rFonts w:ascii="Arial" w:hAnsi="Arial" w:cs="Arial"/>
          <w:sz w:val="20"/>
        </w:rPr>
        <w:t>Chetna</w:t>
      </w:r>
      <w:proofErr w:type="spellEnd"/>
      <w:r w:rsidRPr="00900813">
        <w:rPr>
          <w:rFonts w:ascii="Arial" w:hAnsi="Arial" w:cs="Arial"/>
          <w:sz w:val="20"/>
        </w:rPr>
        <w:t xml:space="preserve"> </w:t>
      </w:r>
      <w:proofErr w:type="spellStart"/>
      <w:r w:rsidRPr="00900813">
        <w:rPr>
          <w:rFonts w:ascii="Arial" w:hAnsi="Arial" w:cs="Arial"/>
          <w:sz w:val="20"/>
        </w:rPr>
        <w:t>Govind</w:t>
      </w:r>
      <w:proofErr w:type="spellEnd"/>
      <w:r w:rsidRPr="00900813">
        <w:rPr>
          <w:rFonts w:ascii="Arial" w:hAnsi="Arial" w:cs="Arial"/>
          <w:sz w:val="20"/>
        </w:rPr>
        <w:t xml:space="preserve">, </w:t>
      </w:r>
      <w:proofErr w:type="spellStart"/>
      <w:r w:rsidRPr="00900813">
        <w:rPr>
          <w:rFonts w:ascii="Arial" w:hAnsi="Arial" w:cs="Arial"/>
          <w:sz w:val="20"/>
        </w:rPr>
        <w:t>Chikwe</w:t>
      </w:r>
      <w:proofErr w:type="spellEnd"/>
      <w:r w:rsidRPr="00900813">
        <w:rPr>
          <w:rFonts w:ascii="Arial" w:hAnsi="Arial" w:cs="Arial"/>
          <w:sz w:val="20"/>
        </w:rPr>
        <w:t xml:space="preserve"> </w:t>
      </w:r>
      <w:proofErr w:type="spellStart"/>
      <w:r w:rsidRPr="00900813">
        <w:rPr>
          <w:rFonts w:ascii="Arial" w:hAnsi="Arial" w:cs="Arial"/>
          <w:sz w:val="20"/>
        </w:rPr>
        <w:t>Ihekweazu</w:t>
      </w:r>
      <w:proofErr w:type="spellEnd"/>
      <w:r w:rsidRPr="00900813">
        <w:rPr>
          <w:rFonts w:ascii="Arial" w:hAnsi="Arial" w:cs="Arial"/>
          <w:sz w:val="20"/>
        </w:rPr>
        <w:t xml:space="preserve">, Chris van </w:t>
      </w:r>
      <w:proofErr w:type="spellStart"/>
      <w:r w:rsidRPr="00900813">
        <w:rPr>
          <w:rFonts w:ascii="Arial" w:hAnsi="Arial" w:cs="Arial"/>
          <w:sz w:val="20"/>
        </w:rPr>
        <w:t>Beneden</w:t>
      </w:r>
      <w:proofErr w:type="spellEnd"/>
      <w:r w:rsidRPr="00900813">
        <w:rPr>
          <w:rFonts w:ascii="Arial" w:hAnsi="Arial" w:cs="Arial"/>
          <w:sz w:val="20"/>
        </w:rPr>
        <w:t xml:space="preserve">, Claire </w:t>
      </w:r>
      <w:proofErr w:type="spellStart"/>
      <w:r w:rsidRPr="00900813">
        <w:rPr>
          <w:rFonts w:ascii="Arial" w:hAnsi="Arial" w:cs="Arial"/>
          <w:sz w:val="20"/>
        </w:rPr>
        <w:t>Heney</w:t>
      </w:r>
      <w:proofErr w:type="spellEnd"/>
      <w:r w:rsidRPr="00900813">
        <w:rPr>
          <w:rFonts w:ascii="Arial" w:hAnsi="Arial" w:cs="Arial"/>
          <w:sz w:val="20"/>
        </w:rPr>
        <w:t xml:space="preserve"> (Lancet laboratories), Claire von </w:t>
      </w:r>
      <w:proofErr w:type="spellStart"/>
      <w:r w:rsidRPr="00900813">
        <w:rPr>
          <w:rFonts w:ascii="Arial" w:hAnsi="Arial" w:cs="Arial"/>
          <w:sz w:val="20"/>
        </w:rPr>
        <w:t>Mollendorf</w:t>
      </w:r>
      <w:proofErr w:type="spellEnd"/>
      <w:r w:rsidRPr="00900813">
        <w:rPr>
          <w:rFonts w:ascii="Arial" w:hAnsi="Arial" w:cs="Arial"/>
          <w:sz w:val="20"/>
        </w:rPr>
        <w:t xml:space="preserve">, </w:t>
      </w:r>
      <w:proofErr w:type="spellStart"/>
      <w:r w:rsidRPr="00900813">
        <w:rPr>
          <w:rFonts w:ascii="Arial" w:hAnsi="Arial" w:cs="Arial"/>
          <w:sz w:val="20"/>
        </w:rPr>
        <w:t>Collleen</w:t>
      </w:r>
      <w:proofErr w:type="spellEnd"/>
      <w:r w:rsidRPr="00900813">
        <w:rPr>
          <w:rFonts w:ascii="Arial" w:hAnsi="Arial" w:cs="Arial"/>
          <w:sz w:val="20"/>
        </w:rPr>
        <w:t xml:space="preserve"> Bamford, Cynthia Whitney (CDC), Dania Perez (Eastern Cape), </w:t>
      </w:r>
      <w:proofErr w:type="spellStart"/>
      <w:r w:rsidRPr="00900813">
        <w:rPr>
          <w:rFonts w:ascii="Arial" w:hAnsi="Arial" w:cs="Arial"/>
          <w:sz w:val="20"/>
        </w:rPr>
        <w:t>Danie</w:t>
      </w:r>
      <w:proofErr w:type="spellEnd"/>
      <w:r w:rsidRPr="00900813">
        <w:rPr>
          <w:rFonts w:ascii="Arial" w:hAnsi="Arial" w:cs="Arial"/>
          <w:sz w:val="20"/>
        </w:rPr>
        <w:t xml:space="preserve"> </w:t>
      </w:r>
      <w:proofErr w:type="spellStart"/>
      <w:r w:rsidRPr="00900813">
        <w:rPr>
          <w:rFonts w:ascii="Arial" w:hAnsi="Arial" w:cs="Arial"/>
          <w:sz w:val="20"/>
        </w:rPr>
        <w:t>Cilliers</w:t>
      </w:r>
      <w:proofErr w:type="spellEnd"/>
      <w:r w:rsidRPr="00900813">
        <w:rPr>
          <w:rFonts w:ascii="Arial" w:hAnsi="Arial" w:cs="Arial"/>
          <w:sz w:val="20"/>
        </w:rPr>
        <w:t xml:space="preserve"> (North West), David Moore, David Spencer, </w:t>
      </w:r>
      <w:proofErr w:type="spellStart"/>
      <w:r w:rsidRPr="00900813">
        <w:rPr>
          <w:rFonts w:ascii="Arial" w:hAnsi="Arial" w:cs="Arial"/>
          <w:sz w:val="20"/>
        </w:rPr>
        <w:t>Deliwe</w:t>
      </w:r>
      <w:proofErr w:type="spellEnd"/>
      <w:r w:rsidRPr="00900813">
        <w:rPr>
          <w:rFonts w:ascii="Arial" w:hAnsi="Arial" w:cs="Arial"/>
          <w:sz w:val="20"/>
        </w:rPr>
        <w:t xml:space="preserve"> Nkosi (NICD), Dena van den Bergh, Desiree du Plessis (NICD), </w:t>
      </w:r>
      <w:proofErr w:type="spellStart"/>
      <w:r w:rsidRPr="00900813">
        <w:rPr>
          <w:rFonts w:ascii="Arial" w:hAnsi="Arial" w:cs="Arial"/>
          <w:sz w:val="20"/>
        </w:rPr>
        <w:t>Dhamiran</w:t>
      </w:r>
      <w:proofErr w:type="spellEnd"/>
      <w:r w:rsidRPr="00900813">
        <w:rPr>
          <w:rFonts w:ascii="Arial" w:hAnsi="Arial" w:cs="Arial"/>
          <w:sz w:val="20"/>
        </w:rPr>
        <w:t xml:space="preserve"> Naidoo, Dominique </w:t>
      </w:r>
      <w:proofErr w:type="spellStart"/>
      <w:r w:rsidRPr="00900813">
        <w:rPr>
          <w:rFonts w:ascii="Arial" w:hAnsi="Arial" w:cs="Arial"/>
          <w:sz w:val="20"/>
        </w:rPr>
        <w:t>Goedhals</w:t>
      </w:r>
      <w:proofErr w:type="spellEnd"/>
      <w:r w:rsidRPr="00900813">
        <w:rPr>
          <w:rFonts w:ascii="Arial" w:hAnsi="Arial" w:cs="Arial"/>
          <w:sz w:val="20"/>
        </w:rPr>
        <w:t xml:space="preserve">, Donald </w:t>
      </w:r>
      <w:proofErr w:type="spellStart"/>
      <w:r w:rsidRPr="00900813">
        <w:rPr>
          <w:rFonts w:ascii="Arial" w:hAnsi="Arial" w:cs="Arial"/>
          <w:sz w:val="20"/>
        </w:rPr>
        <w:t>Ngwira</w:t>
      </w:r>
      <w:proofErr w:type="spellEnd"/>
      <w:r w:rsidRPr="00900813">
        <w:rPr>
          <w:rFonts w:ascii="Arial" w:hAnsi="Arial" w:cs="Arial"/>
          <w:sz w:val="20"/>
        </w:rPr>
        <w:t xml:space="preserve">, </w:t>
      </w:r>
      <w:proofErr w:type="spellStart"/>
      <w:r w:rsidRPr="00900813">
        <w:rPr>
          <w:rFonts w:ascii="Arial" w:hAnsi="Arial" w:cs="Arial"/>
          <w:sz w:val="20"/>
        </w:rPr>
        <w:t>Ebrahim</w:t>
      </w:r>
      <w:proofErr w:type="spellEnd"/>
      <w:r w:rsidRPr="00900813">
        <w:rPr>
          <w:rFonts w:ascii="Arial" w:hAnsi="Arial" w:cs="Arial"/>
          <w:sz w:val="20"/>
        </w:rPr>
        <w:t xml:space="preserve"> </w:t>
      </w:r>
      <w:proofErr w:type="spellStart"/>
      <w:r w:rsidRPr="00900813">
        <w:rPr>
          <w:rFonts w:ascii="Arial" w:hAnsi="Arial" w:cs="Arial"/>
          <w:sz w:val="20"/>
        </w:rPr>
        <w:t>Variava</w:t>
      </w:r>
      <w:proofErr w:type="spellEnd"/>
      <w:r w:rsidRPr="00900813">
        <w:rPr>
          <w:rFonts w:ascii="Arial" w:hAnsi="Arial" w:cs="Arial"/>
          <w:sz w:val="20"/>
        </w:rPr>
        <w:t xml:space="preserve">, Eduard </w:t>
      </w:r>
      <w:proofErr w:type="spellStart"/>
      <w:r w:rsidRPr="00900813">
        <w:rPr>
          <w:rFonts w:ascii="Arial" w:hAnsi="Arial" w:cs="Arial"/>
          <w:sz w:val="20"/>
        </w:rPr>
        <w:t>Silberbauer</w:t>
      </w:r>
      <w:proofErr w:type="spellEnd"/>
      <w:r w:rsidRPr="00900813">
        <w:rPr>
          <w:rFonts w:ascii="Arial" w:hAnsi="Arial" w:cs="Arial"/>
          <w:sz w:val="20"/>
        </w:rPr>
        <w:t xml:space="preserve"> (North West), Elizabeth Prentice, Elizabeth Wasserman (Western Cape), Elizabeth Zell, Erika </w:t>
      </w:r>
      <w:proofErr w:type="spellStart"/>
      <w:r w:rsidRPr="00900813">
        <w:rPr>
          <w:rFonts w:ascii="Arial" w:hAnsi="Arial" w:cs="Arial"/>
          <w:sz w:val="20"/>
        </w:rPr>
        <w:t>Britz</w:t>
      </w:r>
      <w:proofErr w:type="spellEnd"/>
      <w:r w:rsidRPr="00900813">
        <w:rPr>
          <w:rFonts w:ascii="Arial" w:hAnsi="Arial" w:cs="Arial"/>
          <w:sz w:val="20"/>
        </w:rPr>
        <w:t xml:space="preserve">, Erna du Plessis (North West), Eugene Elliot (Free state), Eunice </w:t>
      </w:r>
      <w:proofErr w:type="spellStart"/>
      <w:r w:rsidRPr="00900813">
        <w:rPr>
          <w:rFonts w:ascii="Arial" w:hAnsi="Arial" w:cs="Arial"/>
          <w:sz w:val="20"/>
        </w:rPr>
        <w:t>Weenink</w:t>
      </w:r>
      <w:proofErr w:type="spellEnd"/>
      <w:r w:rsidRPr="00900813">
        <w:rPr>
          <w:rFonts w:ascii="Arial" w:hAnsi="Arial" w:cs="Arial"/>
          <w:sz w:val="20"/>
        </w:rPr>
        <w:t xml:space="preserve"> (Northern cape), </w:t>
      </w:r>
      <w:proofErr w:type="spellStart"/>
      <w:r w:rsidRPr="00900813">
        <w:rPr>
          <w:rFonts w:ascii="Arial" w:hAnsi="Arial" w:cs="Arial"/>
          <w:sz w:val="20"/>
        </w:rPr>
        <w:t>Fathima</w:t>
      </w:r>
      <w:proofErr w:type="spellEnd"/>
      <w:r w:rsidRPr="00900813">
        <w:rPr>
          <w:rFonts w:ascii="Arial" w:hAnsi="Arial" w:cs="Arial"/>
          <w:sz w:val="20"/>
        </w:rPr>
        <w:t xml:space="preserve"> </w:t>
      </w:r>
      <w:proofErr w:type="spellStart"/>
      <w:r w:rsidRPr="00900813">
        <w:rPr>
          <w:rFonts w:ascii="Arial" w:hAnsi="Arial" w:cs="Arial"/>
          <w:sz w:val="20"/>
        </w:rPr>
        <w:t>Naby</w:t>
      </w:r>
      <w:proofErr w:type="spellEnd"/>
      <w:r w:rsidRPr="00900813">
        <w:rPr>
          <w:rFonts w:ascii="Arial" w:hAnsi="Arial" w:cs="Arial"/>
          <w:sz w:val="20"/>
        </w:rPr>
        <w:t xml:space="preserve">, </w:t>
      </w:r>
      <w:proofErr w:type="spellStart"/>
      <w:r w:rsidRPr="00900813">
        <w:rPr>
          <w:rFonts w:ascii="Arial" w:hAnsi="Arial" w:cs="Arial"/>
          <w:sz w:val="20"/>
        </w:rPr>
        <w:t>Frans</w:t>
      </w:r>
      <w:proofErr w:type="spellEnd"/>
      <w:r w:rsidRPr="00900813">
        <w:rPr>
          <w:rFonts w:ascii="Arial" w:hAnsi="Arial" w:cs="Arial"/>
          <w:sz w:val="20"/>
        </w:rPr>
        <w:t xml:space="preserve"> </w:t>
      </w:r>
      <w:proofErr w:type="spellStart"/>
      <w:r w:rsidRPr="00900813">
        <w:rPr>
          <w:rFonts w:ascii="Arial" w:hAnsi="Arial" w:cs="Arial"/>
          <w:sz w:val="20"/>
        </w:rPr>
        <w:t>Radebe</w:t>
      </w:r>
      <w:proofErr w:type="spellEnd"/>
      <w:r w:rsidRPr="00900813">
        <w:rPr>
          <w:rFonts w:ascii="Arial" w:hAnsi="Arial" w:cs="Arial"/>
          <w:sz w:val="20"/>
        </w:rPr>
        <w:t xml:space="preserve">, Fred Angulo (CDC), Gary </w:t>
      </w:r>
      <w:proofErr w:type="spellStart"/>
      <w:r w:rsidRPr="00900813">
        <w:rPr>
          <w:rFonts w:ascii="Arial" w:hAnsi="Arial" w:cs="Arial"/>
          <w:sz w:val="20"/>
        </w:rPr>
        <w:t>Reubenson</w:t>
      </w:r>
      <w:proofErr w:type="spellEnd"/>
      <w:r w:rsidRPr="00900813">
        <w:rPr>
          <w:rFonts w:ascii="Arial" w:hAnsi="Arial" w:cs="Arial"/>
          <w:sz w:val="20"/>
        </w:rPr>
        <w:t xml:space="preserve">, </w:t>
      </w:r>
      <w:proofErr w:type="spellStart"/>
      <w:r w:rsidRPr="00900813">
        <w:rPr>
          <w:rFonts w:ascii="Arial" w:hAnsi="Arial" w:cs="Arial"/>
          <w:sz w:val="20"/>
        </w:rPr>
        <w:t>Genevie</w:t>
      </w:r>
      <w:proofErr w:type="spellEnd"/>
      <w:r w:rsidRPr="00900813">
        <w:rPr>
          <w:rFonts w:ascii="Arial" w:hAnsi="Arial" w:cs="Arial"/>
          <w:sz w:val="20"/>
        </w:rPr>
        <w:t xml:space="preserve"> </w:t>
      </w:r>
      <w:proofErr w:type="spellStart"/>
      <w:r w:rsidRPr="00900813">
        <w:rPr>
          <w:rFonts w:ascii="Arial" w:hAnsi="Arial" w:cs="Arial"/>
          <w:sz w:val="20"/>
        </w:rPr>
        <w:t>Ntshoe</w:t>
      </w:r>
      <w:proofErr w:type="spellEnd"/>
      <w:r w:rsidRPr="00900813">
        <w:rPr>
          <w:rFonts w:ascii="Arial" w:hAnsi="Arial" w:cs="Arial"/>
          <w:sz w:val="20"/>
        </w:rPr>
        <w:t xml:space="preserve">, Gerhard </w:t>
      </w:r>
      <w:proofErr w:type="spellStart"/>
      <w:r w:rsidRPr="00900813">
        <w:rPr>
          <w:rFonts w:ascii="Arial" w:hAnsi="Arial" w:cs="Arial"/>
          <w:sz w:val="20"/>
        </w:rPr>
        <w:t>Weldhagen</w:t>
      </w:r>
      <w:proofErr w:type="spellEnd"/>
      <w:r w:rsidRPr="00900813">
        <w:rPr>
          <w:rFonts w:ascii="Arial" w:hAnsi="Arial" w:cs="Arial"/>
          <w:sz w:val="20"/>
        </w:rPr>
        <w:t xml:space="preserve">, Gillian Hunt, Greta </w:t>
      </w:r>
      <w:proofErr w:type="spellStart"/>
      <w:r w:rsidRPr="00900813">
        <w:rPr>
          <w:rFonts w:ascii="Arial" w:hAnsi="Arial" w:cs="Arial"/>
          <w:sz w:val="20"/>
        </w:rPr>
        <w:t>Hoyland</w:t>
      </w:r>
      <w:proofErr w:type="spellEnd"/>
      <w:r w:rsidRPr="00900813">
        <w:rPr>
          <w:rFonts w:ascii="Arial" w:hAnsi="Arial" w:cs="Arial"/>
          <w:sz w:val="20"/>
        </w:rPr>
        <w:t xml:space="preserve">, Halima </w:t>
      </w:r>
      <w:proofErr w:type="spellStart"/>
      <w:r w:rsidRPr="00900813">
        <w:rPr>
          <w:rFonts w:ascii="Arial" w:hAnsi="Arial" w:cs="Arial"/>
          <w:sz w:val="20"/>
        </w:rPr>
        <w:t>Dawood</w:t>
      </w:r>
      <w:proofErr w:type="spellEnd"/>
      <w:r w:rsidRPr="00900813">
        <w:rPr>
          <w:rFonts w:ascii="Arial" w:hAnsi="Arial" w:cs="Arial"/>
          <w:sz w:val="20"/>
        </w:rPr>
        <w:t xml:space="preserve"> (</w:t>
      </w:r>
      <w:proofErr w:type="spellStart"/>
      <w:r w:rsidRPr="00900813">
        <w:rPr>
          <w:rFonts w:ascii="Arial" w:hAnsi="Arial" w:cs="Arial"/>
          <w:sz w:val="20"/>
        </w:rPr>
        <w:t>KwaZulu</w:t>
      </w:r>
      <w:proofErr w:type="spellEnd"/>
      <w:r w:rsidRPr="00900813">
        <w:rPr>
          <w:rFonts w:ascii="Arial" w:hAnsi="Arial" w:cs="Arial"/>
          <w:sz w:val="20"/>
        </w:rPr>
        <w:t xml:space="preserve"> Natal), Heather </w:t>
      </w:r>
      <w:proofErr w:type="spellStart"/>
      <w:r w:rsidRPr="00900813">
        <w:rPr>
          <w:rFonts w:ascii="Arial" w:hAnsi="Arial" w:cs="Arial"/>
          <w:sz w:val="20"/>
        </w:rPr>
        <w:t>Finalyson</w:t>
      </w:r>
      <w:proofErr w:type="spellEnd"/>
      <w:r w:rsidRPr="00900813">
        <w:rPr>
          <w:rFonts w:ascii="Arial" w:hAnsi="Arial" w:cs="Arial"/>
          <w:sz w:val="20"/>
        </w:rPr>
        <w:t xml:space="preserve">, Heidi Orth, Helena </w:t>
      </w:r>
      <w:proofErr w:type="spellStart"/>
      <w:r w:rsidRPr="00900813">
        <w:rPr>
          <w:rFonts w:ascii="Arial" w:hAnsi="Arial" w:cs="Arial"/>
          <w:sz w:val="20"/>
        </w:rPr>
        <w:t>Rabie</w:t>
      </w:r>
      <w:proofErr w:type="spellEnd"/>
      <w:r w:rsidRPr="00900813">
        <w:rPr>
          <w:rFonts w:ascii="Arial" w:hAnsi="Arial" w:cs="Arial"/>
          <w:sz w:val="20"/>
        </w:rPr>
        <w:t xml:space="preserve">, </w:t>
      </w:r>
      <w:proofErr w:type="spellStart"/>
      <w:r w:rsidRPr="00900813">
        <w:rPr>
          <w:rFonts w:ascii="Arial" w:hAnsi="Arial" w:cs="Arial"/>
          <w:sz w:val="20"/>
        </w:rPr>
        <w:t>Hlengani</w:t>
      </w:r>
      <w:proofErr w:type="spellEnd"/>
      <w:r w:rsidRPr="00900813">
        <w:rPr>
          <w:rFonts w:ascii="Arial" w:hAnsi="Arial" w:cs="Arial"/>
          <w:sz w:val="20"/>
        </w:rPr>
        <w:t xml:space="preserve"> </w:t>
      </w:r>
      <w:proofErr w:type="spellStart"/>
      <w:r w:rsidRPr="00900813">
        <w:rPr>
          <w:rFonts w:ascii="Arial" w:hAnsi="Arial" w:cs="Arial"/>
          <w:sz w:val="20"/>
        </w:rPr>
        <w:t>Mathema</w:t>
      </w:r>
      <w:proofErr w:type="spellEnd"/>
      <w:r w:rsidRPr="00900813">
        <w:rPr>
          <w:rFonts w:ascii="Arial" w:hAnsi="Arial" w:cs="Arial"/>
          <w:sz w:val="20"/>
        </w:rPr>
        <w:t xml:space="preserve">, </w:t>
      </w:r>
      <w:proofErr w:type="spellStart"/>
      <w:r w:rsidRPr="00900813">
        <w:rPr>
          <w:rFonts w:ascii="Arial" w:hAnsi="Arial" w:cs="Arial"/>
          <w:sz w:val="20"/>
        </w:rPr>
        <w:t>Hluphi</w:t>
      </w:r>
      <w:proofErr w:type="spellEnd"/>
      <w:r w:rsidRPr="00900813">
        <w:rPr>
          <w:rFonts w:ascii="Arial" w:hAnsi="Arial" w:cs="Arial"/>
          <w:sz w:val="20"/>
        </w:rPr>
        <w:t xml:space="preserve"> </w:t>
      </w:r>
      <w:proofErr w:type="spellStart"/>
      <w:r w:rsidRPr="00900813">
        <w:rPr>
          <w:rFonts w:ascii="Arial" w:hAnsi="Arial" w:cs="Arial"/>
          <w:sz w:val="20"/>
        </w:rPr>
        <w:t>Mpangane</w:t>
      </w:r>
      <w:proofErr w:type="spellEnd"/>
      <w:r w:rsidRPr="00900813">
        <w:rPr>
          <w:rFonts w:ascii="Arial" w:hAnsi="Arial" w:cs="Arial"/>
          <w:sz w:val="20"/>
        </w:rPr>
        <w:t xml:space="preserve">, </w:t>
      </w:r>
      <w:proofErr w:type="spellStart"/>
      <w:r w:rsidRPr="00900813">
        <w:rPr>
          <w:rFonts w:ascii="Arial" w:hAnsi="Arial" w:cs="Arial"/>
          <w:sz w:val="20"/>
        </w:rPr>
        <w:t>Inge</w:t>
      </w:r>
      <w:proofErr w:type="spellEnd"/>
      <w:r w:rsidRPr="00900813">
        <w:rPr>
          <w:rFonts w:ascii="Arial" w:hAnsi="Arial" w:cs="Arial"/>
          <w:sz w:val="20"/>
        </w:rPr>
        <w:t xml:space="preserve"> </w:t>
      </w:r>
      <w:proofErr w:type="spellStart"/>
      <w:r w:rsidRPr="00900813">
        <w:rPr>
          <w:rFonts w:ascii="Arial" w:hAnsi="Arial" w:cs="Arial"/>
          <w:sz w:val="20"/>
        </w:rPr>
        <w:t>Zietsman</w:t>
      </w:r>
      <w:proofErr w:type="spellEnd"/>
      <w:r w:rsidRPr="00900813">
        <w:rPr>
          <w:rFonts w:ascii="Arial" w:hAnsi="Arial" w:cs="Arial"/>
          <w:sz w:val="20"/>
        </w:rPr>
        <w:t xml:space="preserve">, </w:t>
      </w:r>
      <w:proofErr w:type="spellStart"/>
      <w:r w:rsidRPr="00900813">
        <w:rPr>
          <w:rFonts w:ascii="Arial" w:hAnsi="Arial" w:cs="Arial"/>
          <w:sz w:val="20"/>
        </w:rPr>
        <w:t>Jabulani</w:t>
      </w:r>
      <w:proofErr w:type="spellEnd"/>
      <w:r w:rsidRPr="00900813">
        <w:rPr>
          <w:rFonts w:ascii="Arial" w:hAnsi="Arial" w:cs="Arial"/>
          <w:sz w:val="20"/>
        </w:rPr>
        <w:t xml:space="preserve"> </w:t>
      </w:r>
      <w:proofErr w:type="spellStart"/>
      <w:r w:rsidRPr="00900813">
        <w:rPr>
          <w:rFonts w:ascii="Arial" w:hAnsi="Arial" w:cs="Arial"/>
          <w:sz w:val="20"/>
        </w:rPr>
        <w:t>Ncayiyana</w:t>
      </w:r>
      <w:proofErr w:type="spellEnd"/>
      <w:r w:rsidRPr="00900813">
        <w:rPr>
          <w:rFonts w:ascii="Arial" w:hAnsi="Arial" w:cs="Arial"/>
          <w:sz w:val="20"/>
        </w:rPr>
        <w:t xml:space="preserve"> (NICD), Jacob </w:t>
      </w:r>
      <w:proofErr w:type="spellStart"/>
      <w:r w:rsidRPr="00900813">
        <w:rPr>
          <w:rFonts w:ascii="Arial" w:hAnsi="Arial" w:cs="Arial"/>
          <w:sz w:val="20"/>
        </w:rPr>
        <w:t>Lebudi</w:t>
      </w:r>
      <w:proofErr w:type="spellEnd"/>
      <w:r w:rsidRPr="00900813">
        <w:rPr>
          <w:rFonts w:ascii="Arial" w:hAnsi="Arial" w:cs="Arial"/>
          <w:sz w:val="20"/>
        </w:rPr>
        <w:t xml:space="preserve"> (Mpumalanga), James </w:t>
      </w:r>
      <w:proofErr w:type="spellStart"/>
      <w:r w:rsidRPr="00900813">
        <w:rPr>
          <w:rFonts w:ascii="Arial" w:hAnsi="Arial" w:cs="Arial"/>
          <w:sz w:val="20"/>
        </w:rPr>
        <w:t>Nuttal</w:t>
      </w:r>
      <w:proofErr w:type="spellEnd"/>
      <w:r w:rsidRPr="00900813">
        <w:rPr>
          <w:rFonts w:ascii="Arial" w:hAnsi="Arial" w:cs="Arial"/>
          <w:sz w:val="20"/>
        </w:rPr>
        <w:t xml:space="preserve">, </w:t>
      </w:r>
      <w:proofErr w:type="spellStart"/>
      <w:r w:rsidRPr="00900813">
        <w:rPr>
          <w:rFonts w:ascii="Arial" w:hAnsi="Arial" w:cs="Arial"/>
          <w:sz w:val="20"/>
        </w:rPr>
        <w:t>Jaunita</w:t>
      </w:r>
      <w:proofErr w:type="spellEnd"/>
      <w:r w:rsidRPr="00900813">
        <w:rPr>
          <w:rFonts w:ascii="Arial" w:hAnsi="Arial" w:cs="Arial"/>
          <w:sz w:val="20"/>
        </w:rPr>
        <w:t xml:space="preserve"> Smit (Lancet laboratories), Jay Patel, </w:t>
      </w:r>
      <w:proofErr w:type="spellStart"/>
      <w:r w:rsidRPr="00900813">
        <w:rPr>
          <w:rFonts w:ascii="Arial" w:hAnsi="Arial" w:cs="Arial"/>
          <w:sz w:val="20"/>
        </w:rPr>
        <w:t>Jaymati</w:t>
      </w:r>
      <w:proofErr w:type="spellEnd"/>
      <w:r w:rsidRPr="00900813">
        <w:rPr>
          <w:rFonts w:ascii="Arial" w:hAnsi="Arial" w:cs="Arial"/>
          <w:sz w:val="20"/>
        </w:rPr>
        <w:t xml:space="preserve"> Patel, Jeannette </w:t>
      </w:r>
      <w:proofErr w:type="spellStart"/>
      <w:r w:rsidRPr="00900813">
        <w:rPr>
          <w:rFonts w:ascii="Arial" w:hAnsi="Arial" w:cs="Arial"/>
          <w:sz w:val="20"/>
        </w:rPr>
        <w:t>Wadula</w:t>
      </w:r>
      <w:proofErr w:type="spellEnd"/>
      <w:r w:rsidRPr="00900813">
        <w:rPr>
          <w:rFonts w:ascii="Arial" w:hAnsi="Arial" w:cs="Arial"/>
          <w:sz w:val="20"/>
        </w:rPr>
        <w:t xml:space="preserve"> (Gauteng), Jeffrey </w:t>
      </w:r>
      <w:proofErr w:type="spellStart"/>
      <w:r w:rsidRPr="00900813">
        <w:rPr>
          <w:rFonts w:ascii="Arial" w:hAnsi="Arial" w:cs="Arial"/>
          <w:sz w:val="20"/>
        </w:rPr>
        <w:t>Ramalivhana</w:t>
      </w:r>
      <w:proofErr w:type="spellEnd"/>
      <w:r w:rsidRPr="00900813">
        <w:rPr>
          <w:rFonts w:ascii="Arial" w:hAnsi="Arial" w:cs="Arial"/>
          <w:sz w:val="20"/>
        </w:rPr>
        <w:t xml:space="preserve">, Jennifer Coetzee (AMPATH), Jennifer Verani (CDC), Jeremy </w:t>
      </w:r>
      <w:proofErr w:type="spellStart"/>
      <w:r w:rsidRPr="00900813">
        <w:rPr>
          <w:rFonts w:ascii="Arial" w:hAnsi="Arial" w:cs="Arial"/>
          <w:sz w:val="20"/>
        </w:rPr>
        <w:t>Nel</w:t>
      </w:r>
      <w:proofErr w:type="spellEnd"/>
      <w:r w:rsidRPr="00900813">
        <w:rPr>
          <w:rFonts w:ascii="Arial" w:hAnsi="Arial" w:cs="Arial"/>
          <w:sz w:val="20"/>
        </w:rPr>
        <w:t xml:space="preserve">, John Black, John </w:t>
      </w:r>
      <w:proofErr w:type="spellStart"/>
      <w:r w:rsidRPr="00900813">
        <w:rPr>
          <w:rFonts w:ascii="Arial" w:hAnsi="Arial" w:cs="Arial"/>
          <w:sz w:val="20"/>
        </w:rPr>
        <w:t>Frean</w:t>
      </w:r>
      <w:proofErr w:type="spellEnd"/>
      <w:r w:rsidRPr="00900813">
        <w:rPr>
          <w:rFonts w:ascii="Arial" w:hAnsi="Arial" w:cs="Arial"/>
          <w:sz w:val="20"/>
        </w:rPr>
        <w:t xml:space="preserve">, Joy </w:t>
      </w:r>
      <w:proofErr w:type="spellStart"/>
      <w:r w:rsidRPr="00900813">
        <w:rPr>
          <w:rFonts w:ascii="Arial" w:hAnsi="Arial" w:cs="Arial"/>
          <w:sz w:val="20"/>
        </w:rPr>
        <w:t>Ebonwu</w:t>
      </w:r>
      <w:proofErr w:type="spellEnd"/>
      <w:r w:rsidRPr="00900813">
        <w:rPr>
          <w:rFonts w:ascii="Arial" w:hAnsi="Arial" w:cs="Arial"/>
          <w:sz w:val="20"/>
        </w:rPr>
        <w:t xml:space="preserve">, Juanita Smit, </w:t>
      </w:r>
      <w:proofErr w:type="spellStart"/>
      <w:r w:rsidRPr="00900813">
        <w:rPr>
          <w:rFonts w:ascii="Arial" w:hAnsi="Arial" w:cs="Arial"/>
          <w:sz w:val="20"/>
        </w:rPr>
        <w:t>Justyna</w:t>
      </w:r>
      <w:proofErr w:type="spellEnd"/>
      <w:r w:rsidRPr="00900813">
        <w:rPr>
          <w:rFonts w:ascii="Arial" w:hAnsi="Arial" w:cs="Arial"/>
          <w:sz w:val="20"/>
        </w:rPr>
        <w:t xml:space="preserve"> </w:t>
      </w:r>
      <w:proofErr w:type="spellStart"/>
      <w:r w:rsidRPr="00900813">
        <w:rPr>
          <w:rFonts w:ascii="Arial" w:hAnsi="Arial" w:cs="Arial"/>
          <w:sz w:val="20"/>
        </w:rPr>
        <w:t>Wojno</w:t>
      </w:r>
      <w:proofErr w:type="spellEnd"/>
      <w:r w:rsidRPr="00900813">
        <w:rPr>
          <w:rFonts w:ascii="Arial" w:hAnsi="Arial" w:cs="Arial"/>
          <w:sz w:val="20"/>
        </w:rPr>
        <w:t xml:space="preserve">, Kamal Baba, </w:t>
      </w:r>
      <w:proofErr w:type="spellStart"/>
      <w:r w:rsidRPr="00900813">
        <w:rPr>
          <w:rFonts w:ascii="Arial" w:hAnsi="Arial" w:cs="Arial"/>
          <w:sz w:val="20"/>
        </w:rPr>
        <w:t>Kamaldeen</w:t>
      </w:r>
      <w:proofErr w:type="spellEnd"/>
      <w:r w:rsidRPr="00900813">
        <w:rPr>
          <w:rFonts w:ascii="Arial" w:hAnsi="Arial" w:cs="Arial"/>
          <w:sz w:val="20"/>
        </w:rPr>
        <w:t xml:space="preserve"> Baba, Karen </w:t>
      </w:r>
      <w:proofErr w:type="spellStart"/>
      <w:r w:rsidRPr="00900813">
        <w:rPr>
          <w:rFonts w:ascii="Arial" w:hAnsi="Arial" w:cs="Arial"/>
          <w:sz w:val="20"/>
        </w:rPr>
        <w:t>Keddy</w:t>
      </w:r>
      <w:proofErr w:type="spellEnd"/>
      <w:r w:rsidRPr="00900813">
        <w:rPr>
          <w:rFonts w:ascii="Arial" w:hAnsi="Arial" w:cs="Arial"/>
          <w:sz w:val="20"/>
        </w:rPr>
        <w:t>, Karin Swart (</w:t>
      </w:r>
      <w:proofErr w:type="spellStart"/>
      <w:r w:rsidRPr="00900813">
        <w:rPr>
          <w:rFonts w:ascii="Arial" w:hAnsi="Arial" w:cs="Arial"/>
          <w:sz w:val="20"/>
        </w:rPr>
        <w:t>Netcare</w:t>
      </w:r>
      <w:proofErr w:type="spellEnd"/>
      <w:r w:rsidRPr="00900813">
        <w:rPr>
          <w:rFonts w:ascii="Arial" w:hAnsi="Arial" w:cs="Arial"/>
          <w:sz w:val="20"/>
        </w:rPr>
        <w:t xml:space="preserve">), Katherine Robinson (CDC), Kathy </w:t>
      </w:r>
      <w:proofErr w:type="spellStart"/>
      <w:r w:rsidRPr="00900813">
        <w:rPr>
          <w:rFonts w:ascii="Arial" w:hAnsi="Arial" w:cs="Arial"/>
          <w:sz w:val="20"/>
        </w:rPr>
        <w:t>Lindeque</w:t>
      </w:r>
      <w:proofErr w:type="spellEnd"/>
      <w:r w:rsidRPr="00900813">
        <w:rPr>
          <w:rFonts w:ascii="Arial" w:hAnsi="Arial" w:cs="Arial"/>
          <w:sz w:val="20"/>
        </w:rPr>
        <w:t xml:space="preserve">, Keith Klugman (Emory), Ken </w:t>
      </w:r>
      <w:proofErr w:type="spellStart"/>
      <w:r w:rsidRPr="00900813">
        <w:rPr>
          <w:rFonts w:ascii="Arial" w:hAnsi="Arial" w:cs="Arial"/>
          <w:sz w:val="20"/>
        </w:rPr>
        <w:t>Hamese</w:t>
      </w:r>
      <w:proofErr w:type="spellEnd"/>
      <w:r w:rsidRPr="00900813">
        <w:rPr>
          <w:rFonts w:ascii="Arial" w:hAnsi="Arial" w:cs="Arial"/>
          <w:sz w:val="20"/>
        </w:rPr>
        <w:t xml:space="preserve"> (Limpopo), Keith Bauer, Kerrigan McCarthy (NICD), </w:t>
      </w:r>
      <w:proofErr w:type="spellStart"/>
      <w:r w:rsidRPr="00900813">
        <w:rPr>
          <w:rFonts w:ascii="Arial" w:hAnsi="Arial" w:cs="Arial"/>
          <w:sz w:val="20"/>
        </w:rPr>
        <w:t>Keshree</w:t>
      </w:r>
      <w:proofErr w:type="spellEnd"/>
      <w:r w:rsidRPr="00900813">
        <w:rPr>
          <w:rFonts w:ascii="Arial" w:hAnsi="Arial" w:cs="Arial"/>
          <w:sz w:val="20"/>
        </w:rPr>
        <w:t xml:space="preserve"> Pillay (LANCET), </w:t>
      </w:r>
      <w:proofErr w:type="spellStart"/>
      <w:r w:rsidRPr="00900813">
        <w:rPr>
          <w:rFonts w:ascii="Arial" w:hAnsi="Arial" w:cs="Arial"/>
          <w:sz w:val="20"/>
        </w:rPr>
        <w:t>Kessendri</w:t>
      </w:r>
      <w:proofErr w:type="spellEnd"/>
      <w:r w:rsidRPr="00900813">
        <w:rPr>
          <w:rFonts w:ascii="Arial" w:hAnsi="Arial" w:cs="Arial"/>
          <w:sz w:val="20"/>
        </w:rPr>
        <w:t xml:space="preserve"> Reddy, </w:t>
      </w:r>
      <w:proofErr w:type="spellStart"/>
      <w:r w:rsidRPr="00900813">
        <w:rPr>
          <w:rFonts w:ascii="Arial" w:hAnsi="Arial" w:cs="Arial"/>
          <w:sz w:val="20"/>
        </w:rPr>
        <w:t>Khatija</w:t>
      </w:r>
      <w:proofErr w:type="spellEnd"/>
      <w:r w:rsidRPr="00900813">
        <w:rPr>
          <w:rFonts w:ascii="Arial" w:hAnsi="Arial" w:cs="Arial"/>
          <w:sz w:val="20"/>
        </w:rPr>
        <w:t xml:space="preserve"> Ahmed, </w:t>
      </w:r>
      <w:proofErr w:type="spellStart"/>
      <w:r w:rsidRPr="00900813">
        <w:rPr>
          <w:rFonts w:ascii="Arial" w:hAnsi="Arial" w:cs="Arial"/>
          <w:sz w:val="20"/>
        </w:rPr>
        <w:t>Khatija</w:t>
      </w:r>
      <w:proofErr w:type="spellEnd"/>
      <w:r w:rsidRPr="00900813">
        <w:rPr>
          <w:rFonts w:ascii="Arial" w:hAnsi="Arial" w:cs="Arial"/>
          <w:sz w:val="20"/>
        </w:rPr>
        <w:t xml:space="preserve"> </w:t>
      </w:r>
      <w:proofErr w:type="spellStart"/>
      <w:r w:rsidRPr="00900813">
        <w:rPr>
          <w:rFonts w:ascii="Arial" w:hAnsi="Arial" w:cs="Arial"/>
          <w:sz w:val="20"/>
        </w:rPr>
        <w:t>Dawood</w:t>
      </w:r>
      <w:proofErr w:type="spellEnd"/>
      <w:r w:rsidRPr="00900813">
        <w:rPr>
          <w:rFonts w:ascii="Arial" w:hAnsi="Arial" w:cs="Arial"/>
          <w:sz w:val="20"/>
        </w:rPr>
        <w:t xml:space="preserve">, </w:t>
      </w:r>
      <w:proofErr w:type="spellStart"/>
      <w:r w:rsidRPr="00900813">
        <w:rPr>
          <w:rFonts w:ascii="Arial" w:hAnsi="Arial" w:cs="Arial"/>
          <w:sz w:val="20"/>
        </w:rPr>
        <w:t>Khine</w:t>
      </w:r>
      <w:proofErr w:type="spellEnd"/>
      <w:r w:rsidRPr="00900813">
        <w:rPr>
          <w:rFonts w:ascii="Arial" w:hAnsi="Arial" w:cs="Arial"/>
          <w:sz w:val="20"/>
        </w:rPr>
        <w:t xml:space="preserve"> </w:t>
      </w:r>
      <w:proofErr w:type="spellStart"/>
      <w:r w:rsidRPr="00900813">
        <w:rPr>
          <w:rFonts w:ascii="Arial" w:hAnsi="Arial" w:cs="Arial"/>
          <w:sz w:val="20"/>
        </w:rPr>
        <w:t>Sweswe</w:t>
      </w:r>
      <w:proofErr w:type="spellEnd"/>
      <w:r w:rsidRPr="00900813">
        <w:rPr>
          <w:rFonts w:ascii="Arial" w:hAnsi="Arial" w:cs="Arial"/>
          <w:sz w:val="20"/>
        </w:rPr>
        <w:t xml:space="preserve">, </w:t>
      </w:r>
      <w:proofErr w:type="spellStart"/>
      <w:r w:rsidRPr="00900813">
        <w:rPr>
          <w:rFonts w:ascii="Arial" w:hAnsi="Arial" w:cs="Arial"/>
          <w:sz w:val="20"/>
        </w:rPr>
        <w:t>Koleka</w:t>
      </w:r>
      <w:proofErr w:type="spellEnd"/>
      <w:r w:rsidRPr="00900813">
        <w:rPr>
          <w:rFonts w:ascii="Arial" w:hAnsi="Arial" w:cs="Arial"/>
          <w:sz w:val="20"/>
        </w:rPr>
        <w:t xml:space="preserve"> </w:t>
      </w:r>
      <w:proofErr w:type="spellStart"/>
      <w:r w:rsidRPr="00900813">
        <w:rPr>
          <w:rFonts w:ascii="Arial" w:hAnsi="Arial" w:cs="Arial"/>
          <w:sz w:val="20"/>
        </w:rPr>
        <w:t>Mlisana</w:t>
      </w:r>
      <w:proofErr w:type="spellEnd"/>
      <w:r w:rsidRPr="00900813">
        <w:rPr>
          <w:rFonts w:ascii="Arial" w:hAnsi="Arial" w:cs="Arial"/>
          <w:sz w:val="20"/>
        </w:rPr>
        <w:t xml:space="preserve">, </w:t>
      </w:r>
      <w:proofErr w:type="spellStart"/>
      <w:r w:rsidRPr="00900813">
        <w:rPr>
          <w:rFonts w:ascii="Arial" w:hAnsi="Arial" w:cs="Arial"/>
          <w:sz w:val="20"/>
        </w:rPr>
        <w:t>Kureshnee</w:t>
      </w:r>
      <w:proofErr w:type="spellEnd"/>
      <w:r w:rsidRPr="00900813">
        <w:rPr>
          <w:rFonts w:ascii="Arial" w:hAnsi="Arial" w:cs="Arial"/>
          <w:sz w:val="20"/>
        </w:rPr>
        <w:t xml:space="preserve"> Pillay, </w:t>
      </w:r>
      <w:proofErr w:type="spellStart"/>
      <w:r w:rsidRPr="00900813">
        <w:rPr>
          <w:rFonts w:ascii="Arial" w:hAnsi="Arial" w:cs="Arial"/>
          <w:sz w:val="20"/>
        </w:rPr>
        <w:t>Languta</w:t>
      </w:r>
      <w:proofErr w:type="spellEnd"/>
      <w:r w:rsidRPr="00900813">
        <w:rPr>
          <w:rFonts w:ascii="Arial" w:hAnsi="Arial" w:cs="Arial"/>
          <w:sz w:val="20"/>
        </w:rPr>
        <w:t xml:space="preserve"> Sibiya, Leigh Dini (SMI), Linda de Gouveia, Linda Erasmus, Linda Meyer, Linda </w:t>
      </w:r>
      <w:proofErr w:type="spellStart"/>
      <w:r w:rsidRPr="00900813">
        <w:rPr>
          <w:rFonts w:ascii="Arial" w:hAnsi="Arial" w:cs="Arial"/>
          <w:sz w:val="20"/>
        </w:rPr>
        <w:t>Wende</w:t>
      </w:r>
      <w:proofErr w:type="spellEnd"/>
      <w:r w:rsidRPr="00900813">
        <w:rPr>
          <w:rFonts w:ascii="Arial" w:hAnsi="Arial" w:cs="Arial"/>
          <w:sz w:val="20"/>
        </w:rPr>
        <w:t xml:space="preserve"> (Free State), Lino </w:t>
      </w:r>
      <w:proofErr w:type="spellStart"/>
      <w:r w:rsidRPr="00900813">
        <w:rPr>
          <w:rFonts w:ascii="Arial" w:hAnsi="Arial" w:cs="Arial"/>
          <w:sz w:val="20"/>
        </w:rPr>
        <w:t>Sono</w:t>
      </w:r>
      <w:proofErr w:type="spellEnd"/>
      <w:r w:rsidRPr="00900813">
        <w:rPr>
          <w:rFonts w:ascii="Arial" w:hAnsi="Arial" w:cs="Arial"/>
          <w:sz w:val="20"/>
        </w:rPr>
        <w:t xml:space="preserve">  (North west), </w:t>
      </w:r>
      <w:proofErr w:type="spellStart"/>
      <w:r w:rsidRPr="00900813">
        <w:rPr>
          <w:rFonts w:ascii="Arial" w:hAnsi="Arial" w:cs="Arial"/>
          <w:sz w:val="20"/>
        </w:rPr>
        <w:t>Lisha</w:t>
      </w:r>
      <w:proofErr w:type="spellEnd"/>
      <w:r w:rsidRPr="00900813">
        <w:rPr>
          <w:rFonts w:ascii="Arial" w:hAnsi="Arial" w:cs="Arial"/>
          <w:sz w:val="20"/>
        </w:rPr>
        <w:t xml:space="preserve"> </w:t>
      </w:r>
      <w:proofErr w:type="spellStart"/>
      <w:r w:rsidRPr="00900813">
        <w:rPr>
          <w:rFonts w:ascii="Arial" w:hAnsi="Arial" w:cs="Arial"/>
          <w:sz w:val="20"/>
        </w:rPr>
        <w:t>Sookan</w:t>
      </w:r>
      <w:proofErr w:type="spellEnd"/>
      <w:r w:rsidRPr="00900813">
        <w:rPr>
          <w:rFonts w:ascii="Arial" w:hAnsi="Arial" w:cs="Arial"/>
          <w:sz w:val="20"/>
        </w:rPr>
        <w:t xml:space="preserve">, Louis Marcus, Louise Cooke, Lynne </w:t>
      </w:r>
      <w:proofErr w:type="spellStart"/>
      <w:r w:rsidRPr="00900813">
        <w:rPr>
          <w:rFonts w:ascii="Arial" w:hAnsi="Arial" w:cs="Arial"/>
          <w:sz w:val="20"/>
        </w:rPr>
        <w:t>Liebowitz</w:t>
      </w:r>
      <w:proofErr w:type="spellEnd"/>
      <w:r w:rsidRPr="00900813">
        <w:rPr>
          <w:rFonts w:ascii="Arial" w:hAnsi="Arial" w:cs="Arial"/>
          <w:sz w:val="20"/>
        </w:rPr>
        <w:t xml:space="preserve">, Madeleine </w:t>
      </w:r>
      <w:proofErr w:type="spellStart"/>
      <w:r w:rsidRPr="00900813">
        <w:rPr>
          <w:rFonts w:ascii="Arial" w:hAnsi="Arial" w:cs="Arial"/>
          <w:sz w:val="20"/>
        </w:rPr>
        <w:t>Pieters</w:t>
      </w:r>
      <w:proofErr w:type="spellEnd"/>
      <w:r w:rsidRPr="00900813">
        <w:rPr>
          <w:rFonts w:ascii="Arial" w:hAnsi="Arial" w:cs="Arial"/>
          <w:sz w:val="20"/>
        </w:rPr>
        <w:t xml:space="preserve"> (Free State), </w:t>
      </w:r>
      <w:proofErr w:type="spellStart"/>
      <w:r w:rsidRPr="00900813">
        <w:rPr>
          <w:rFonts w:ascii="Arial" w:hAnsi="Arial" w:cs="Arial"/>
          <w:sz w:val="20"/>
        </w:rPr>
        <w:t>Maomokgethi</w:t>
      </w:r>
      <w:proofErr w:type="spellEnd"/>
      <w:r w:rsidRPr="00900813">
        <w:rPr>
          <w:rFonts w:ascii="Arial" w:hAnsi="Arial" w:cs="Arial"/>
          <w:sz w:val="20"/>
        </w:rPr>
        <w:t xml:space="preserve"> Moshe, </w:t>
      </w:r>
      <w:proofErr w:type="spellStart"/>
      <w:r w:rsidRPr="00900813">
        <w:rPr>
          <w:rFonts w:ascii="Arial" w:hAnsi="Arial" w:cs="Arial"/>
          <w:sz w:val="20"/>
        </w:rPr>
        <w:t>Maphoshane</w:t>
      </w:r>
      <w:proofErr w:type="spellEnd"/>
      <w:r w:rsidRPr="00900813">
        <w:rPr>
          <w:rFonts w:ascii="Arial" w:hAnsi="Arial" w:cs="Arial"/>
          <w:sz w:val="20"/>
        </w:rPr>
        <w:t xml:space="preserve"> </w:t>
      </w:r>
      <w:proofErr w:type="spellStart"/>
      <w:r w:rsidRPr="00900813">
        <w:rPr>
          <w:rFonts w:ascii="Arial" w:hAnsi="Arial" w:cs="Arial"/>
          <w:sz w:val="20"/>
        </w:rPr>
        <w:t>Nchabeleng</w:t>
      </w:r>
      <w:proofErr w:type="spellEnd"/>
      <w:r w:rsidRPr="00900813">
        <w:rPr>
          <w:rFonts w:ascii="Arial" w:hAnsi="Arial" w:cs="Arial"/>
          <w:sz w:val="20"/>
        </w:rPr>
        <w:t xml:space="preserve">, Maria Botha, Mark Cruz da Silva (AMPATH laboratories), Mark Nicol, </w:t>
      </w:r>
      <w:proofErr w:type="spellStart"/>
      <w:r w:rsidRPr="00900813">
        <w:rPr>
          <w:rFonts w:ascii="Arial" w:hAnsi="Arial" w:cs="Arial"/>
          <w:sz w:val="20"/>
        </w:rPr>
        <w:t>Marshagne</w:t>
      </w:r>
      <w:proofErr w:type="spellEnd"/>
      <w:r w:rsidRPr="00900813">
        <w:rPr>
          <w:rFonts w:ascii="Arial" w:hAnsi="Arial" w:cs="Arial"/>
          <w:sz w:val="20"/>
        </w:rPr>
        <w:t xml:space="preserve"> Smith, Martha </w:t>
      </w:r>
      <w:proofErr w:type="spellStart"/>
      <w:r w:rsidRPr="00900813">
        <w:rPr>
          <w:rFonts w:ascii="Arial" w:hAnsi="Arial" w:cs="Arial"/>
          <w:sz w:val="20"/>
        </w:rPr>
        <w:t>Bodiba</w:t>
      </w:r>
      <w:proofErr w:type="spellEnd"/>
      <w:r w:rsidRPr="00900813">
        <w:rPr>
          <w:rFonts w:ascii="Arial" w:hAnsi="Arial" w:cs="Arial"/>
          <w:sz w:val="20"/>
        </w:rPr>
        <w:t xml:space="preserve">, Martha Makgoba, </w:t>
      </w:r>
      <w:proofErr w:type="spellStart"/>
      <w:r w:rsidRPr="00900813">
        <w:rPr>
          <w:rFonts w:ascii="Arial" w:hAnsi="Arial" w:cs="Arial"/>
          <w:sz w:val="20"/>
        </w:rPr>
        <w:t>Marthinus</w:t>
      </w:r>
      <w:proofErr w:type="spellEnd"/>
      <w:r w:rsidRPr="00900813">
        <w:rPr>
          <w:rFonts w:ascii="Arial" w:hAnsi="Arial" w:cs="Arial"/>
          <w:sz w:val="20"/>
        </w:rPr>
        <w:t xml:space="preserve"> Senekal (</w:t>
      </w:r>
      <w:proofErr w:type="spellStart"/>
      <w:r w:rsidRPr="00900813">
        <w:rPr>
          <w:rFonts w:ascii="Arial" w:hAnsi="Arial" w:cs="Arial"/>
          <w:sz w:val="20"/>
        </w:rPr>
        <w:t>PathCare</w:t>
      </w:r>
      <w:proofErr w:type="spellEnd"/>
      <w:r w:rsidRPr="00900813">
        <w:rPr>
          <w:rFonts w:ascii="Arial" w:hAnsi="Arial" w:cs="Arial"/>
          <w:sz w:val="20"/>
        </w:rPr>
        <w:t xml:space="preserve">), </w:t>
      </w:r>
      <w:proofErr w:type="spellStart"/>
      <w:r w:rsidRPr="00900813">
        <w:rPr>
          <w:rFonts w:ascii="Arial" w:hAnsi="Arial" w:cs="Arial"/>
          <w:sz w:val="20"/>
        </w:rPr>
        <w:t>Mbhekiseni</w:t>
      </w:r>
      <w:proofErr w:type="spellEnd"/>
      <w:r w:rsidRPr="00900813">
        <w:rPr>
          <w:rFonts w:ascii="Arial" w:hAnsi="Arial" w:cs="Arial"/>
          <w:sz w:val="20"/>
        </w:rPr>
        <w:t xml:space="preserve"> </w:t>
      </w:r>
      <w:proofErr w:type="spellStart"/>
      <w:r w:rsidRPr="00900813">
        <w:rPr>
          <w:rFonts w:ascii="Arial" w:hAnsi="Arial" w:cs="Arial"/>
          <w:sz w:val="20"/>
        </w:rPr>
        <w:t>Khumalo</w:t>
      </w:r>
      <w:proofErr w:type="spellEnd"/>
      <w:r w:rsidRPr="00900813">
        <w:rPr>
          <w:rFonts w:ascii="Arial" w:hAnsi="Arial" w:cs="Arial"/>
          <w:sz w:val="20"/>
        </w:rPr>
        <w:t xml:space="preserve">, Melony </w:t>
      </w:r>
      <w:proofErr w:type="spellStart"/>
      <w:r w:rsidRPr="00900813">
        <w:rPr>
          <w:rFonts w:ascii="Arial" w:hAnsi="Arial" w:cs="Arial"/>
          <w:sz w:val="20"/>
        </w:rPr>
        <w:t>Fortuin</w:t>
      </w:r>
      <w:proofErr w:type="spellEnd"/>
      <w:r w:rsidRPr="00900813">
        <w:rPr>
          <w:rFonts w:ascii="Arial" w:hAnsi="Arial" w:cs="Arial"/>
          <w:sz w:val="20"/>
        </w:rPr>
        <w:t xml:space="preserve">-de </w:t>
      </w:r>
      <w:proofErr w:type="spellStart"/>
      <w:r w:rsidRPr="00900813">
        <w:rPr>
          <w:rFonts w:ascii="Arial" w:hAnsi="Arial" w:cs="Arial"/>
          <w:sz w:val="20"/>
        </w:rPr>
        <w:t>Smidt</w:t>
      </w:r>
      <w:proofErr w:type="spellEnd"/>
      <w:r w:rsidRPr="00900813">
        <w:rPr>
          <w:rFonts w:ascii="Arial" w:hAnsi="Arial" w:cs="Arial"/>
          <w:sz w:val="20"/>
        </w:rPr>
        <w:t xml:space="preserve">, Mike Dove, </w:t>
      </w:r>
      <w:proofErr w:type="spellStart"/>
      <w:r w:rsidRPr="00900813">
        <w:rPr>
          <w:rFonts w:ascii="Arial" w:hAnsi="Arial" w:cs="Arial"/>
          <w:sz w:val="20"/>
        </w:rPr>
        <w:t>Mireille</w:t>
      </w:r>
      <w:proofErr w:type="spellEnd"/>
      <w:r w:rsidRPr="00900813">
        <w:rPr>
          <w:rFonts w:ascii="Arial" w:hAnsi="Arial" w:cs="Arial"/>
          <w:sz w:val="20"/>
        </w:rPr>
        <w:t xml:space="preserve"> </w:t>
      </w:r>
      <w:proofErr w:type="spellStart"/>
      <w:r w:rsidRPr="00900813">
        <w:rPr>
          <w:rFonts w:ascii="Arial" w:hAnsi="Arial" w:cs="Arial"/>
          <w:sz w:val="20"/>
        </w:rPr>
        <w:t>Cheyip</w:t>
      </w:r>
      <w:proofErr w:type="spellEnd"/>
      <w:r w:rsidRPr="00900813">
        <w:rPr>
          <w:rFonts w:ascii="Arial" w:hAnsi="Arial" w:cs="Arial"/>
          <w:sz w:val="20"/>
        </w:rPr>
        <w:t xml:space="preserve">, </w:t>
      </w:r>
      <w:proofErr w:type="spellStart"/>
      <w:r w:rsidRPr="00900813">
        <w:rPr>
          <w:rFonts w:ascii="Arial" w:hAnsi="Arial" w:cs="Arial"/>
          <w:sz w:val="20"/>
        </w:rPr>
        <w:t>Mirriam</w:t>
      </w:r>
      <w:proofErr w:type="spellEnd"/>
      <w:r w:rsidRPr="00900813">
        <w:rPr>
          <w:rFonts w:ascii="Arial" w:hAnsi="Arial" w:cs="Arial"/>
          <w:sz w:val="20"/>
        </w:rPr>
        <w:t xml:space="preserve"> </w:t>
      </w:r>
      <w:proofErr w:type="spellStart"/>
      <w:r w:rsidRPr="00900813">
        <w:rPr>
          <w:rFonts w:ascii="Arial" w:hAnsi="Arial" w:cs="Arial"/>
          <w:sz w:val="20"/>
        </w:rPr>
        <w:t>Selekisho</w:t>
      </w:r>
      <w:proofErr w:type="spellEnd"/>
      <w:r w:rsidRPr="00900813">
        <w:rPr>
          <w:rFonts w:ascii="Arial" w:hAnsi="Arial" w:cs="Arial"/>
          <w:sz w:val="20"/>
        </w:rPr>
        <w:t xml:space="preserve">, </w:t>
      </w:r>
      <w:proofErr w:type="spellStart"/>
      <w:r w:rsidRPr="00900813">
        <w:rPr>
          <w:rFonts w:ascii="Arial" w:hAnsi="Arial" w:cs="Arial"/>
          <w:sz w:val="20"/>
        </w:rPr>
        <w:t>Mmakgomo</w:t>
      </w:r>
      <w:proofErr w:type="spellEnd"/>
      <w:r w:rsidRPr="00900813">
        <w:rPr>
          <w:rFonts w:ascii="Arial" w:hAnsi="Arial" w:cs="Arial"/>
          <w:sz w:val="20"/>
        </w:rPr>
        <w:t xml:space="preserve"> </w:t>
      </w:r>
      <w:proofErr w:type="spellStart"/>
      <w:r w:rsidRPr="00900813">
        <w:rPr>
          <w:rFonts w:ascii="Arial" w:hAnsi="Arial" w:cs="Arial"/>
          <w:sz w:val="20"/>
        </w:rPr>
        <w:t>Rakhudu</w:t>
      </w:r>
      <w:proofErr w:type="spellEnd"/>
      <w:r w:rsidRPr="00900813">
        <w:rPr>
          <w:rFonts w:ascii="Arial" w:hAnsi="Arial" w:cs="Arial"/>
          <w:sz w:val="20"/>
        </w:rPr>
        <w:t xml:space="preserve">, </w:t>
      </w:r>
      <w:proofErr w:type="spellStart"/>
      <w:r w:rsidRPr="00900813">
        <w:rPr>
          <w:rFonts w:ascii="Arial" w:hAnsi="Arial" w:cs="Arial"/>
          <w:sz w:val="20"/>
        </w:rPr>
        <w:t>Moherndran</w:t>
      </w:r>
      <w:proofErr w:type="spellEnd"/>
      <w:r w:rsidRPr="00900813">
        <w:rPr>
          <w:rFonts w:ascii="Arial" w:hAnsi="Arial" w:cs="Arial"/>
          <w:sz w:val="20"/>
        </w:rPr>
        <w:t xml:space="preserve"> </w:t>
      </w:r>
      <w:proofErr w:type="spellStart"/>
      <w:r w:rsidRPr="00900813">
        <w:rPr>
          <w:rFonts w:ascii="Arial" w:hAnsi="Arial" w:cs="Arial"/>
          <w:sz w:val="20"/>
        </w:rPr>
        <w:t>Archary</w:t>
      </w:r>
      <w:proofErr w:type="spellEnd"/>
      <w:r w:rsidRPr="00900813">
        <w:rPr>
          <w:rFonts w:ascii="Arial" w:hAnsi="Arial" w:cs="Arial"/>
          <w:sz w:val="20"/>
        </w:rPr>
        <w:t xml:space="preserve">, </w:t>
      </w:r>
      <w:proofErr w:type="spellStart"/>
      <w:r w:rsidRPr="00900813">
        <w:rPr>
          <w:rFonts w:ascii="Arial" w:hAnsi="Arial" w:cs="Arial"/>
          <w:sz w:val="20"/>
        </w:rPr>
        <w:t>Mohlamme</w:t>
      </w:r>
      <w:proofErr w:type="spellEnd"/>
      <w:r w:rsidRPr="00900813">
        <w:rPr>
          <w:rFonts w:ascii="Arial" w:hAnsi="Arial" w:cs="Arial"/>
          <w:sz w:val="20"/>
        </w:rPr>
        <w:t xml:space="preserve"> John </w:t>
      </w:r>
      <w:proofErr w:type="spellStart"/>
      <w:r w:rsidRPr="00900813">
        <w:rPr>
          <w:rFonts w:ascii="Arial" w:hAnsi="Arial" w:cs="Arial"/>
          <w:sz w:val="20"/>
        </w:rPr>
        <w:t>Mathabathe</w:t>
      </w:r>
      <w:proofErr w:type="spellEnd"/>
      <w:r w:rsidRPr="00900813">
        <w:rPr>
          <w:rFonts w:ascii="Arial" w:hAnsi="Arial" w:cs="Arial"/>
          <w:sz w:val="20"/>
        </w:rPr>
        <w:t xml:space="preserve">, </w:t>
      </w:r>
      <w:proofErr w:type="spellStart"/>
      <w:r w:rsidRPr="00900813">
        <w:rPr>
          <w:rFonts w:ascii="Arial" w:hAnsi="Arial" w:cs="Arial"/>
          <w:sz w:val="20"/>
        </w:rPr>
        <w:t>Motshabi</w:t>
      </w:r>
      <w:proofErr w:type="spellEnd"/>
      <w:r w:rsidRPr="00900813">
        <w:rPr>
          <w:rFonts w:ascii="Arial" w:hAnsi="Arial" w:cs="Arial"/>
          <w:sz w:val="20"/>
        </w:rPr>
        <w:t xml:space="preserve"> </w:t>
      </w:r>
      <w:proofErr w:type="spellStart"/>
      <w:r w:rsidRPr="00900813">
        <w:rPr>
          <w:rFonts w:ascii="Arial" w:hAnsi="Arial" w:cs="Arial"/>
          <w:sz w:val="20"/>
        </w:rPr>
        <w:t>Modise</w:t>
      </w:r>
      <w:proofErr w:type="spellEnd"/>
      <w:r w:rsidRPr="00900813">
        <w:rPr>
          <w:rFonts w:ascii="Arial" w:hAnsi="Arial" w:cs="Arial"/>
          <w:sz w:val="20"/>
        </w:rPr>
        <w:t xml:space="preserve">, Nancy </w:t>
      </w:r>
      <w:proofErr w:type="spellStart"/>
      <w:r w:rsidRPr="00900813">
        <w:rPr>
          <w:rFonts w:ascii="Arial" w:hAnsi="Arial" w:cs="Arial"/>
          <w:sz w:val="20"/>
        </w:rPr>
        <w:t>Rosentein-Messonier</w:t>
      </w:r>
      <w:proofErr w:type="spellEnd"/>
      <w:r w:rsidRPr="00900813">
        <w:rPr>
          <w:rFonts w:ascii="Arial" w:hAnsi="Arial" w:cs="Arial"/>
          <w:sz w:val="20"/>
        </w:rPr>
        <w:t xml:space="preserve">, </w:t>
      </w:r>
      <w:proofErr w:type="spellStart"/>
      <w:r w:rsidRPr="00900813">
        <w:rPr>
          <w:rFonts w:ascii="Arial" w:hAnsi="Arial" w:cs="Arial"/>
          <w:sz w:val="20"/>
        </w:rPr>
        <w:lastRenderedPageBreak/>
        <w:t>Nazir</w:t>
      </w:r>
      <w:proofErr w:type="spellEnd"/>
      <w:r w:rsidRPr="00900813">
        <w:rPr>
          <w:rFonts w:ascii="Arial" w:hAnsi="Arial" w:cs="Arial"/>
          <w:sz w:val="20"/>
        </w:rPr>
        <w:t xml:space="preserve"> Ismail, </w:t>
      </w:r>
      <w:proofErr w:type="spellStart"/>
      <w:r w:rsidRPr="00900813">
        <w:rPr>
          <w:rFonts w:ascii="Arial" w:hAnsi="Arial" w:cs="Arial"/>
          <w:sz w:val="20"/>
        </w:rPr>
        <w:t>Nazlee</w:t>
      </w:r>
      <w:proofErr w:type="spellEnd"/>
      <w:r w:rsidRPr="00900813">
        <w:rPr>
          <w:rFonts w:ascii="Arial" w:hAnsi="Arial" w:cs="Arial"/>
          <w:sz w:val="20"/>
        </w:rPr>
        <w:t xml:space="preserve"> </w:t>
      </w:r>
      <w:proofErr w:type="spellStart"/>
      <w:r w:rsidRPr="00900813">
        <w:rPr>
          <w:rFonts w:ascii="Arial" w:hAnsi="Arial" w:cs="Arial"/>
          <w:sz w:val="20"/>
        </w:rPr>
        <w:t>Samodien</w:t>
      </w:r>
      <w:proofErr w:type="spellEnd"/>
      <w:r w:rsidRPr="00900813">
        <w:rPr>
          <w:rFonts w:ascii="Arial" w:hAnsi="Arial" w:cs="Arial"/>
          <w:sz w:val="20"/>
        </w:rPr>
        <w:t xml:space="preserve">, </w:t>
      </w:r>
      <w:proofErr w:type="spellStart"/>
      <w:r w:rsidRPr="00900813">
        <w:rPr>
          <w:rFonts w:ascii="Arial" w:hAnsi="Arial" w:cs="Arial"/>
          <w:sz w:val="20"/>
        </w:rPr>
        <w:t>Nelesh</w:t>
      </w:r>
      <w:proofErr w:type="spellEnd"/>
      <w:r w:rsidRPr="00900813">
        <w:rPr>
          <w:rFonts w:ascii="Arial" w:hAnsi="Arial" w:cs="Arial"/>
          <w:sz w:val="20"/>
        </w:rPr>
        <w:t xml:space="preserve"> Govender, Neo Legare, </w:t>
      </w:r>
      <w:proofErr w:type="spellStart"/>
      <w:r w:rsidRPr="00900813">
        <w:rPr>
          <w:rFonts w:ascii="Arial" w:hAnsi="Arial" w:cs="Arial"/>
          <w:sz w:val="20"/>
        </w:rPr>
        <w:t>Nevashan</w:t>
      </w:r>
      <w:proofErr w:type="spellEnd"/>
      <w:r w:rsidRPr="00900813">
        <w:rPr>
          <w:rFonts w:ascii="Arial" w:hAnsi="Arial" w:cs="Arial"/>
          <w:sz w:val="20"/>
        </w:rPr>
        <w:t xml:space="preserve"> Govender, </w:t>
      </w:r>
      <w:proofErr w:type="spellStart"/>
      <w:r w:rsidRPr="00900813">
        <w:rPr>
          <w:rFonts w:ascii="Arial" w:hAnsi="Arial" w:cs="Arial"/>
          <w:sz w:val="20"/>
        </w:rPr>
        <w:t>Ngoaka</w:t>
      </w:r>
      <w:proofErr w:type="spellEnd"/>
      <w:r w:rsidRPr="00900813">
        <w:rPr>
          <w:rFonts w:ascii="Arial" w:hAnsi="Arial" w:cs="Arial"/>
          <w:sz w:val="20"/>
        </w:rPr>
        <w:t xml:space="preserve"> Sibiya (Limpopo), Nicola Page, Nicolette du Plessis, </w:t>
      </w:r>
      <w:proofErr w:type="spellStart"/>
      <w:r w:rsidRPr="00900813">
        <w:rPr>
          <w:rFonts w:ascii="Arial" w:hAnsi="Arial" w:cs="Arial"/>
          <w:sz w:val="20"/>
        </w:rPr>
        <w:t>Nireshni</w:t>
      </w:r>
      <w:proofErr w:type="spellEnd"/>
      <w:r w:rsidRPr="00900813">
        <w:rPr>
          <w:rFonts w:ascii="Arial" w:hAnsi="Arial" w:cs="Arial"/>
          <w:sz w:val="20"/>
        </w:rPr>
        <w:t xml:space="preserve"> Naidoo, Nolan </w:t>
      </w:r>
      <w:proofErr w:type="spellStart"/>
      <w:r w:rsidRPr="00900813">
        <w:rPr>
          <w:rFonts w:ascii="Arial" w:hAnsi="Arial" w:cs="Arial"/>
          <w:sz w:val="20"/>
        </w:rPr>
        <w:t>Janse</w:t>
      </w:r>
      <w:proofErr w:type="spellEnd"/>
      <w:r w:rsidRPr="00900813">
        <w:rPr>
          <w:rFonts w:ascii="Arial" w:hAnsi="Arial" w:cs="Arial"/>
          <w:sz w:val="20"/>
        </w:rPr>
        <w:t xml:space="preserve"> van </w:t>
      </w:r>
      <w:proofErr w:type="spellStart"/>
      <w:r w:rsidRPr="00900813">
        <w:rPr>
          <w:rFonts w:ascii="Arial" w:hAnsi="Arial" w:cs="Arial"/>
          <w:sz w:val="20"/>
        </w:rPr>
        <w:t>Rensburg</w:t>
      </w:r>
      <w:proofErr w:type="spellEnd"/>
      <w:r w:rsidRPr="00900813">
        <w:rPr>
          <w:rFonts w:ascii="Arial" w:hAnsi="Arial" w:cs="Arial"/>
          <w:sz w:val="20"/>
        </w:rPr>
        <w:t xml:space="preserve">, Nomonde Dlamini, Norma Bosman, Ntsieni Ramalwa, Nuraan Paulse, Olga </w:t>
      </w:r>
      <w:proofErr w:type="spellStart"/>
      <w:r w:rsidRPr="00900813">
        <w:rPr>
          <w:rFonts w:ascii="Arial" w:hAnsi="Arial" w:cs="Arial"/>
          <w:sz w:val="20"/>
        </w:rPr>
        <w:t>Perovic</w:t>
      </w:r>
      <w:proofErr w:type="spellEnd"/>
      <w:r w:rsidRPr="00900813">
        <w:rPr>
          <w:rFonts w:ascii="Arial" w:hAnsi="Arial" w:cs="Arial"/>
          <w:sz w:val="20"/>
        </w:rPr>
        <w:t xml:space="preserve">, Oliver </w:t>
      </w:r>
      <w:proofErr w:type="spellStart"/>
      <w:r w:rsidRPr="00900813">
        <w:rPr>
          <w:rFonts w:ascii="Arial" w:hAnsi="Arial" w:cs="Arial"/>
          <w:sz w:val="20"/>
        </w:rPr>
        <w:t>Murangandi</w:t>
      </w:r>
      <w:proofErr w:type="spellEnd"/>
      <w:r w:rsidRPr="00900813">
        <w:rPr>
          <w:rFonts w:ascii="Arial" w:hAnsi="Arial" w:cs="Arial"/>
          <w:sz w:val="20"/>
        </w:rPr>
        <w:t xml:space="preserve">, Patricia </w:t>
      </w:r>
      <w:proofErr w:type="spellStart"/>
      <w:r w:rsidRPr="00900813">
        <w:rPr>
          <w:rFonts w:ascii="Arial" w:hAnsi="Arial" w:cs="Arial"/>
          <w:sz w:val="20"/>
        </w:rPr>
        <w:t>Hanise</w:t>
      </w:r>
      <w:proofErr w:type="spellEnd"/>
      <w:r w:rsidRPr="00900813">
        <w:rPr>
          <w:rFonts w:ascii="Arial" w:hAnsi="Arial" w:cs="Arial"/>
          <w:sz w:val="20"/>
        </w:rPr>
        <w:t xml:space="preserve">, Penny Crowther-Gibson, Peter Smith, </w:t>
      </w:r>
      <w:proofErr w:type="spellStart"/>
      <w:r w:rsidRPr="00900813">
        <w:rPr>
          <w:rFonts w:ascii="Arial" w:hAnsi="Arial" w:cs="Arial"/>
          <w:sz w:val="20"/>
        </w:rPr>
        <w:t>Phumeza</w:t>
      </w:r>
      <w:proofErr w:type="spellEnd"/>
      <w:r w:rsidRPr="00900813">
        <w:rPr>
          <w:rFonts w:ascii="Arial" w:hAnsi="Arial" w:cs="Arial"/>
          <w:sz w:val="20"/>
        </w:rPr>
        <w:t xml:space="preserve"> </w:t>
      </w:r>
      <w:proofErr w:type="spellStart"/>
      <w:r w:rsidRPr="00900813">
        <w:rPr>
          <w:rFonts w:ascii="Arial" w:hAnsi="Arial" w:cs="Arial"/>
          <w:sz w:val="20"/>
        </w:rPr>
        <w:t>Vazi</w:t>
      </w:r>
      <w:proofErr w:type="spellEnd"/>
      <w:r w:rsidRPr="00900813">
        <w:rPr>
          <w:rFonts w:ascii="Arial" w:hAnsi="Arial" w:cs="Arial"/>
          <w:sz w:val="20"/>
        </w:rPr>
        <w:t xml:space="preserve">, Pieter </w:t>
      </w:r>
      <w:proofErr w:type="spellStart"/>
      <w:r w:rsidRPr="00900813">
        <w:rPr>
          <w:rFonts w:ascii="Arial" w:hAnsi="Arial" w:cs="Arial"/>
          <w:sz w:val="20"/>
        </w:rPr>
        <w:t>Ekermans</w:t>
      </w:r>
      <w:proofErr w:type="spellEnd"/>
      <w:r w:rsidRPr="00900813">
        <w:rPr>
          <w:rFonts w:ascii="Arial" w:hAnsi="Arial" w:cs="Arial"/>
          <w:sz w:val="20"/>
        </w:rPr>
        <w:t xml:space="preserve">, Pieter </w:t>
      </w:r>
      <w:proofErr w:type="spellStart"/>
      <w:r w:rsidRPr="00900813">
        <w:rPr>
          <w:rFonts w:ascii="Arial" w:hAnsi="Arial" w:cs="Arial"/>
          <w:sz w:val="20"/>
        </w:rPr>
        <w:t>Jooste</w:t>
      </w:r>
      <w:proofErr w:type="spellEnd"/>
      <w:r w:rsidRPr="00900813">
        <w:rPr>
          <w:rFonts w:ascii="Arial" w:hAnsi="Arial" w:cs="Arial"/>
          <w:sz w:val="20"/>
        </w:rPr>
        <w:t xml:space="preserve"> (Northern Cape), Portia Mutevedzi, </w:t>
      </w:r>
      <w:proofErr w:type="spellStart"/>
      <w:r w:rsidRPr="00900813">
        <w:rPr>
          <w:rFonts w:ascii="Arial" w:hAnsi="Arial" w:cs="Arial"/>
          <w:sz w:val="20"/>
        </w:rPr>
        <w:t>Praksha</w:t>
      </w:r>
      <w:proofErr w:type="spellEnd"/>
      <w:r w:rsidRPr="00900813">
        <w:rPr>
          <w:rFonts w:ascii="Arial" w:hAnsi="Arial" w:cs="Arial"/>
          <w:sz w:val="20"/>
        </w:rPr>
        <w:t xml:space="preserve"> </w:t>
      </w:r>
      <w:proofErr w:type="spellStart"/>
      <w:r w:rsidRPr="00900813">
        <w:rPr>
          <w:rFonts w:ascii="Arial" w:hAnsi="Arial" w:cs="Arial"/>
          <w:sz w:val="20"/>
        </w:rPr>
        <w:t>Ramjathan</w:t>
      </w:r>
      <w:proofErr w:type="spellEnd"/>
      <w:r w:rsidRPr="00900813">
        <w:rPr>
          <w:rFonts w:ascii="Arial" w:hAnsi="Arial" w:cs="Arial"/>
          <w:sz w:val="20"/>
        </w:rPr>
        <w:t xml:space="preserve">, </w:t>
      </w:r>
      <w:proofErr w:type="spellStart"/>
      <w:r w:rsidRPr="00900813">
        <w:rPr>
          <w:rFonts w:ascii="Arial" w:hAnsi="Arial" w:cs="Arial"/>
          <w:sz w:val="20"/>
        </w:rPr>
        <w:t>Prasha</w:t>
      </w:r>
      <w:proofErr w:type="spellEnd"/>
      <w:r w:rsidRPr="00900813">
        <w:rPr>
          <w:rFonts w:ascii="Arial" w:hAnsi="Arial" w:cs="Arial"/>
          <w:sz w:val="20"/>
        </w:rPr>
        <w:t xml:space="preserve"> </w:t>
      </w:r>
      <w:proofErr w:type="spellStart"/>
      <w:r w:rsidRPr="00900813">
        <w:rPr>
          <w:rFonts w:ascii="Arial" w:hAnsi="Arial" w:cs="Arial"/>
          <w:sz w:val="20"/>
        </w:rPr>
        <w:t>Mahabeer</w:t>
      </w:r>
      <w:proofErr w:type="spellEnd"/>
      <w:r w:rsidRPr="00900813">
        <w:rPr>
          <w:rFonts w:ascii="Arial" w:hAnsi="Arial" w:cs="Arial"/>
          <w:sz w:val="20"/>
        </w:rPr>
        <w:t xml:space="preserve">, </w:t>
      </w:r>
      <w:proofErr w:type="spellStart"/>
      <w:r w:rsidRPr="00900813">
        <w:rPr>
          <w:rFonts w:ascii="Arial" w:hAnsi="Arial" w:cs="Arial"/>
          <w:sz w:val="20"/>
        </w:rPr>
        <w:t>Prashini</w:t>
      </w:r>
      <w:proofErr w:type="spellEnd"/>
      <w:r w:rsidRPr="00900813">
        <w:rPr>
          <w:rFonts w:ascii="Arial" w:hAnsi="Arial" w:cs="Arial"/>
          <w:sz w:val="20"/>
        </w:rPr>
        <w:t xml:space="preserve"> </w:t>
      </w:r>
      <w:proofErr w:type="spellStart"/>
      <w:r w:rsidRPr="00900813">
        <w:rPr>
          <w:rFonts w:ascii="Arial" w:hAnsi="Arial" w:cs="Arial"/>
          <w:sz w:val="20"/>
        </w:rPr>
        <w:t>Moodley</w:t>
      </w:r>
      <w:proofErr w:type="spellEnd"/>
      <w:r w:rsidRPr="00900813">
        <w:rPr>
          <w:rFonts w:ascii="Arial" w:hAnsi="Arial" w:cs="Arial"/>
          <w:sz w:val="20"/>
        </w:rPr>
        <w:t xml:space="preserve">, </w:t>
      </w:r>
      <w:proofErr w:type="spellStart"/>
      <w:r w:rsidRPr="00900813">
        <w:rPr>
          <w:rFonts w:ascii="Arial" w:hAnsi="Arial" w:cs="Arial"/>
          <w:sz w:val="20"/>
        </w:rPr>
        <w:t>Prathna</w:t>
      </w:r>
      <w:proofErr w:type="spellEnd"/>
      <w:r w:rsidRPr="00900813">
        <w:rPr>
          <w:rFonts w:ascii="Arial" w:hAnsi="Arial" w:cs="Arial"/>
          <w:sz w:val="20"/>
        </w:rPr>
        <w:t xml:space="preserve"> </w:t>
      </w:r>
      <w:proofErr w:type="spellStart"/>
      <w:r w:rsidRPr="00900813">
        <w:rPr>
          <w:rFonts w:ascii="Arial" w:hAnsi="Arial" w:cs="Arial"/>
          <w:sz w:val="20"/>
        </w:rPr>
        <w:t>Bhola</w:t>
      </w:r>
      <w:proofErr w:type="spellEnd"/>
      <w:r w:rsidRPr="00900813">
        <w:rPr>
          <w:rFonts w:ascii="Arial" w:hAnsi="Arial" w:cs="Arial"/>
          <w:sz w:val="20"/>
        </w:rPr>
        <w:t xml:space="preserve">, </w:t>
      </w:r>
      <w:proofErr w:type="spellStart"/>
      <w:r w:rsidRPr="00900813">
        <w:rPr>
          <w:rFonts w:ascii="Arial" w:hAnsi="Arial" w:cs="Arial"/>
          <w:sz w:val="20"/>
        </w:rPr>
        <w:t>Preneshni</w:t>
      </w:r>
      <w:proofErr w:type="spellEnd"/>
      <w:r w:rsidRPr="00900813">
        <w:rPr>
          <w:rFonts w:ascii="Arial" w:hAnsi="Arial" w:cs="Arial"/>
          <w:sz w:val="20"/>
        </w:rPr>
        <w:t xml:space="preserve"> </w:t>
      </w:r>
      <w:proofErr w:type="spellStart"/>
      <w:r w:rsidRPr="00900813">
        <w:rPr>
          <w:rFonts w:ascii="Arial" w:hAnsi="Arial" w:cs="Arial"/>
          <w:sz w:val="20"/>
        </w:rPr>
        <w:t>Naicker</w:t>
      </w:r>
      <w:proofErr w:type="spellEnd"/>
      <w:r w:rsidRPr="00900813">
        <w:rPr>
          <w:rFonts w:ascii="Arial" w:hAnsi="Arial" w:cs="Arial"/>
          <w:sz w:val="20"/>
        </w:rPr>
        <w:t xml:space="preserve"> (Western Cape), Prudence </w:t>
      </w:r>
      <w:proofErr w:type="spellStart"/>
      <w:r w:rsidRPr="00900813">
        <w:rPr>
          <w:rFonts w:ascii="Arial" w:hAnsi="Arial" w:cs="Arial"/>
          <w:sz w:val="20"/>
        </w:rPr>
        <w:t>Ive</w:t>
      </w:r>
      <w:proofErr w:type="spellEnd"/>
      <w:r w:rsidRPr="00900813">
        <w:rPr>
          <w:rFonts w:ascii="Arial" w:hAnsi="Arial" w:cs="Arial"/>
          <w:sz w:val="20"/>
        </w:rPr>
        <w:t xml:space="preserve">, </w:t>
      </w:r>
      <w:proofErr w:type="spellStart"/>
      <w:r w:rsidRPr="00900813">
        <w:rPr>
          <w:rFonts w:ascii="Arial" w:hAnsi="Arial" w:cs="Arial"/>
          <w:sz w:val="20"/>
        </w:rPr>
        <w:t>Pyu-Pyu</w:t>
      </w:r>
      <w:proofErr w:type="spellEnd"/>
      <w:r w:rsidRPr="00900813">
        <w:rPr>
          <w:rFonts w:ascii="Arial" w:hAnsi="Arial" w:cs="Arial"/>
          <w:sz w:val="20"/>
        </w:rPr>
        <w:t xml:space="preserve"> Sein, </w:t>
      </w:r>
      <w:proofErr w:type="spellStart"/>
      <w:r w:rsidRPr="00900813">
        <w:rPr>
          <w:rFonts w:ascii="Arial" w:hAnsi="Arial" w:cs="Arial"/>
          <w:sz w:val="20"/>
        </w:rPr>
        <w:t>Ramola</w:t>
      </w:r>
      <w:proofErr w:type="spellEnd"/>
      <w:r w:rsidRPr="00900813">
        <w:rPr>
          <w:rFonts w:ascii="Arial" w:hAnsi="Arial" w:cs="Arial"/>
          <w:sz w:val="20"/>
        </w:rPr>
        <w:t xml:space="preserve"> Naidoo, Ranmini Kularatne, </w:t>
      </w:r>
      <w:proofErr w:type="spellStart"/>
      <w:r w:rsidRPr="00900813">
        <w:rPr>
          <w:rFonts w:ascii="Arial" w:hAnsi="Arial" w:cs="Arial"/>
          <w:sz w:val="20"/>
        </w:rPr>
        <w:t>Relebohile</w:t>
      </w:r>
      <w:proofErr w:type="spellEnd"/>
      <w:r w:rsidRPr="00900813">
        <w:rPr>
          <w:rFonts w:ascii="Arial" w:hAnsi="Arial" w:cs="Arial"/>
          <w:sz w:val="20"/>
        </w:rPr>
        <w:t xml:space="preserve"> </w:t>
      </w:r>
      <w:proofErr w:type="spellStart"/>
      <w:r w:rsidRPr="00900813">
        <w:rPr>
          <w:rFonts w:ascii="Arial" w:hAnsi="Arial" w:cs="Arial"/>
          <w:sz w:val="20"/>
        </w:rPr>
        <w:t>Ncha</w:t>
      </w:r>
      <w:proofErr w:type="spellEnd"/>
      <w:r w:rsidRPr="00900813">
        <w:rPr>
          <w:rFonts w:ascii="Arial" w:hAnsi="Arial" w:cs="Arial"/>
          <w:sz w:val="20"/>
        </w:rPr>
        <w:t xml:space="preserve">, Rena Hoffmann, </w:t>
      </w:r>
      <w:proofErr w:type="spellStart"/>
      <w:r w:rsidRPr="00900813">
        <w:rPr>
          <w:rFonts w:ascii="Arial" w:hAnsi="Arial" w:cs="Arial"/>
          <w:sz w:val="20"/>
        </w:rPr>
        <w:t>Riezaah</w:t>
      </w:r>
      <w:proofErr w:type="spellEnd"/>
      <w:r w:rsidRPr="00900813">
        <w:rPr>
          <w:rFonts w:ascii="Arial" w:hAnsi="Arial" w:cs="Arial"/>
          <w:sz w:val="20"/>
        </w:rPr>
        <w:t xml:space="preserve"> Abrahams (Northern Cape), Riyadh </w:t>
      </w:r>
      <w:proofErr w:type="spellStart"/>
      <w:r w:rsidRPr="00900813">
        <w:rPr>
          <w:rFonts w:ascii="Arial" w:hAnsi="Arial" w:cs="Arial"/>
          <w:sz w:val="20"/>
        </w:rPr>
        <w:t>Manesen</w:t>
      </w:r>
      <w:proofErr w:type="spellEnd"/>
      <w:r w:rsidRPr="00900813">
        <w:rPr>
          <w:rFonts w:ascii="Arial" w:hAnsi="Arial" w:cs="Arial"/>
          <w:sz w:val="20"/>
        </w:rPr>
        <w:t xml:space="preserve">, </w:t>
      </w:r>
      <w:proofErr w:type="spellStart"/>
      <w:r w:rsidRPr="00900813">
        <w:rPr>
          <w:rFonts w:ascii="Arial" w:hAnsi="Arial" w:cs="Arial"/>
          <w:sz w:val="20"/>
        </w:rPr>
        <w:t>Romola</w:t>
      </w:r>
      <w:proofErr w:type="spellEnd"/>
      <w:r w:rsidRPr="00900813">
        <w:rPr>
          <w:rFonts w:ascii="Arial" w:hAnsi="Arial" w:cs="Arial"/>
          <w:sz w:val="20"/>
        </w:rPr>
        <w:t xml:space="preserve"> Naidoo, Ruth  </w:t>
      </w:r>
      <w:proofErr w:type="spellStart"/>
      <w:r w:rsidRPr="00900813">
        <w:rPr>
          <w:rFonts w:ascii="Arial" w:hAnsi="Arial" w:cs="Arial"/>
          <w:sz w:val="20"/>
        </w:rPr>
        <w:t>Mpembe</w:t>
      </w:r>
      <w:proofErr w:type="spellEnd"/>
      <w:r w:rsidRPr="00900813">
        <w:rPr>
          <w:rFonts w:ascii="Arial" w:hAnsi="Arial" w:cs="Arial"/>
          <w:sz w:val="20"/>
        </w:rPr>
        <w:t xml:space="preserve">, Ruth </w:t>
      </w:r>
      <w:proofErr w:type="spellStart"/>
      <w:r w:rsidRPr="00900813">
        <w:rPr>
          <w:rFonts w:ascii="Arial" w:hAnsi="Arial" w:cs="Arial"/>
          <w:sz w:val="20"/>
        </w:rPr>
        <w:t>Lekalakala</w:t>
      </w:r>
      <w:proofErr w:type="spellEnd"/>
      <w:r w:rsidRPr="00900813">
        <w:rPr>
          <w:rFonts w:ascii="Arial" w:hAnsi="Arial" w:cs="Arial"/>
          <w:sz w:val="20"/>
        </w:rPr>
        <w:t xml:space="preserve">, Ruth </w:t>
      </w:r>
      <w:proofErr w:type="spellStart"/>
      <w:r w:rsidRPr="00900813">
        <w:rPr>
          <w:rFonts w:ascii="Arial" w:hAnsi="Arial" w:cs="Arial"/>
          <w:sz w:val="20"/>
        </w:rPr>
        <w:t>Mpembe</w:t>
      </w:r>
      <w:proofErr w:type="spellEnd"/>
      <w:r w:rsidRPr="00900813">
        <w:rPr>
          <w:rFonts w:ascii="Arial" w:hAnsi="Arial" w:cs="Arial"/>
          <w:sz w:val="20"/>
        </w:rPr>
        <w:t xml:space="preserve">, Samantha </w:t>
      </w:r>
      <w:proofErr w:type="spellStart"/>
      <w:r w:rsidRPr="00900813">
        <w:rPr>
          <w:rFonts w:ascii="Arial" w:hAnsi="Arial" w:cs="Arial"/>
          <w:sz w:val="20"/>
        </w:rPr>
        <w:t>Iyaloo</w:t>
      </w:r>
      <w:proofErr w:type="spellEnd"/>
      <w:r w:rsidRPr="00900813">
        <w:rPr>
          <w:rFonts w:ascii="Arial" w:hAnsi="Arial" w:cs="Arial"/>
          <w:sz w:val="20"/>
        </w:rPr>
        <w:t xml:space="preserve">, Sandeep </w:t>
      </w:r>
      <w:proofErr w:type="spellStart"/>
      <w:r w:rsidRPr="00900813">
        <w:rPr>
          <w:rFonts w:ascii="Arial" w:hAnsi="Arial" w:cs="Arial"/>
          <w:sz w:val="20"/>
        </w:rPr>
        <w:t>Vasaikar</w:t>
      </w:r>
      <w:proofErr w:type="spellEnd"/>
      <w:r w:rsidRPr="00900813">
        <w:rPr>
          <w:rFonts w:ascii="Arial" w:hAnsi="Arial" w:cs="Arial"/>
          <w:sz w:val="20"/>
        </w:rPr>
        <w:t xml:space="preserve"> (Eastern Cape), Sarona </w:t>
      </w:r>
      <w:proofErr w:type="spellStart"/>
      <w:r w:rsidRPr="00900813">
        <w:rPr>
          <w:rFonts w:ascii="Arial" w:hAnsi="Arial" w:cs="Arial"/>
          <w:sz w:val="20"/>
        </w:rPr>
        <w:t>Lengana</w:t>
      </w:r>
      <w:proofErr w:type="spellEnd"/>
      <w:r w:rsidRPr="00900813">
        <w:rPr>
          <w:rFonts w:ascii="Arial" w:hAnsi="Arial" w:cs="Arial"/>
          <w:sz w:val="20"/>
        </w:rPr>
        <w:t xml:space="preserve">, </w:t>
      </w:r>
      <w:proofErr w:type="spellStart"/>
      <w:r w:rsidRPr="00900813">
        <w:rPr>
          <w:rFonts w:ascii="Arial" w:hAnsi="Arial" w:cs="Arial"/>
          <w:sz w:val="20"/>
        </w:rPr>
        <w:t>Shabir</w:t>
      </w:r>
      <w:proofErr w:type="spellEnd"/>
      <w:r w:rsidRPr="00900813">
        <w:rPr>
          <w:rFonts w:ascii="Arial" w:hAnsi="Arial" w:cs="Arial"/>
          <w:sz w:val="20"/>
        </w:rPr>
        <w:t xml:space="preserve"> </w:t>
      </w:r>
      <w:proofErr w:type="spellStart"/>
      <w:r w:rsidRPr="00900813">
        <w:rPr>
          <w:rFonts w:ascii="Arial" w:hAnsi="Arial" w:cs="Arial"/>
          <w:sz w:val="20"/>
        </w:rPr>
        <w:t>Madhi</w:t>
      </w:r>
      <w:proofErr w:type="spellEnd"/>
      <w:r w:rsidRPr="00900813">
        <w:rPr>
          <w:rFonts w:ascii="Arial" w:hAnsi="Arial" w:cs="Arial"/>
          <w:sz w:val="20"/>
        </w:rPr>
        <w:t xml:space="preserve">, </w:t>
      </w:r>
      <w:proofErr w:type="spellStart"/>
      <w:r w:rsidRPr="00900813">
        <w:rPr>
          <w:rFonts w:ascii="Arial" w:hAnsi="Arial" w:cs="Arial"/>
          <w:sz w:val="20"/>
        </w:rPr>
        <w:t>Shareef</w:t>
      </w:r>
      <w:proofErr w:type="spellEnd"/>
      <w:r w:rsidRPr="00900813">
        <w:rPr>
          <w:rFonts w:ascii="Arial" w:hAnsi="Arial" w:cs="Arial"/>
          <w:sz w:val="20"/>
        </w:rPr>
        <w:t xml:space="preserve"> Abrahams (Western Cape), </w:t>
      </w:r>
      <w:proofErr w:type="spellStart"/>
      <w:r w:rsidRPr="00900813">
        <w:rPr>
          <w:rFonts w:ascii="Arial" w:hAnsi="Arial" w:cs="Arial"/>
          <w:sz w:val="20"/>
        </w:rPr>
        <w:t>Sharona</w:t>
      </w:r>
      <w:proofErr w:type="spellEnd"/>
      <w:r w:rsidRPr="00900813">
        <w:rPr>
          <w:rFonts w:ascii="Arial" w:hAnsi="Arial" w:cs="Arial"/>
          <w:sz w:val="20"/>
        </w:rPr>
        <w:t xml:space="preserve"> </w:t>
      </w:r>
      <w:proofErr w:type="spellStart"/>
      <w:r w:rsidRPr="00900813">
        <w:rPr>
          <w:rFonts w:ascii="Arial" w:hAnsi="Arial" w:cs="Arial"/>
          <w:sz w:val="20"/>
        </w:rPr>
        <w:t>Seetharam</w:t>
      </w:r>
      <w:proofErr w:type="spellEnd"/>
      <w:r w:rsidRPr="00900813">
        <w:rPr>
          <w:rFonts w:ascii="Arial" w:hAnsi="Arial" w:cs="Arial"/>
          <w:sz w:val="20"/>
        </w:rPr>
        <w:t xml:space="preserve">, </w:t>
      </w:r>
      <w:proofErr w:type="spellStart"/>
      <w:r w:rsidRPr="00900813">
        <w:rPr>
          <w:rFonts w:ascii="Arial" w:hAnsi="Arial" w:cs="Arial"/>
          <w:sz w:val="20"/>
        </w:rPr>
        <w:t>Sheeba</w:t>
      </w:r>
      <w:proofErr w:type="spellEnd"/>
      <w:r w:rsidRPr="00900813">
        <w:rPr>
          <w:rFonts w:ascii="Arial" w:hAnsi="Arial" w:cs="Arial"/>
          <w:sz w:val="20"/>
        </w:rPr>
        <w:t xml:space="preserve"> </w:t>
      </w:r>
      <w:proofErr w:type="spellStart"/>
      <w:r w:rsidRPr="00900813">
        <w:rPr>
          <w:rFonts w:ascii="Arial" w:hAnsi="Arial" w:cs="Arial"/>
          <w:sz w:val="20"/>
        </w:rPr>
        <w:t>Varughese</w:t>
      </w:r>
      <w:proofErr w:type="spellEnd"/>
      <w:r w:rsidRPr="00900813">
        <w:rPr>
          <w:rFonts w:ascii="Arial" w:hAnsi="Arial" w:cs="Arial"/>
          <w:sz w:val="20"/>
        </w:rPr>
        <w:t xml:space="preserve">, Sibongile Walaza, </w:t>
      </w:r>
      <w:proofErr w:type="spellStart"/>
      <w:r w:rsidRPr="00900813">
        <w:rPr>
          <w:rFonts w:ascii="Arial" w:hAnsi="Arial" w:cs="Arial"/>
          <w:sz w:val="20"/>
        </w:rPr>
        <w:t>Sindisiwe</w:t>
      </w:r>
      <w:proofErr w:type="spellEnd"/>
      <w:r w:rsidRPr="00900813">
        <w:rPr>
          <w:rFonts w:ascii="Arial" w:hAnsi="Arial" w:cs="Arial"/>
          <w:sz w:val="20"/>
        </w:rPr>
        <w:t xml:space="preserve"> Sithole (</w:t>
      </w:r>
      <w:proofErr w:type="spellStart"/>
      <w:r w:rsidRPr="00900813">
        <w:rPr>
          <w:rFonts w:ascii="Arial" w:hAnsi="Arial" w:cs="Arial"/>
          <w:sz w:val="20"/>
        </w:rPr>
        <w:t>KwaZulu</w:t>
      </w:r>
      <w:proofErr w:type="spellEnd"/>
      <w:r w:rsidRPr="00900813">
        <w:rPr>
          <w:rFonts w:ascii="Arial" w:hAnsi="Arial" w:cs="Arial"/>
          <w:sz w:val="20"/>
        </w:rPr>
        <w:t xml:space="preserve"> Natal), </w:t>
      </w:r>
      <w:proofErr w:type="spellStart"/>
      <w:r w:rsidRPr="00900813">
        <w:rPr>
          <w:rFonts w:ascii="Arial" w:hAnsi="Arial" w:cs="Arial"/>
          <w:sz w:val="20"/>
        </w:rPr>
        <w:t>Sindiswa</w:t>
      </w:r>
      <w:proofErr w:type="spellEnd"/>
      <w:r w:rsidRPr="00900813">
        <w:rPr>
          <w:rFonts w:ascii="Arial" w:hAnsi="Arial" w:cs="Arial"/>
          <w:sz w:val="20"/>
        </w:rPr>
        <w:t xml:space="preserve"> </w:t>
      </w:r>
      <w:proofErr w:type="spellStart"/>
      <w:r w:rsidRPr="00900813">
        <w:rPr>
          <w:rFonts w:ascii="Arial" w:hAnsi="Arial" w:cs="Arial"/>
          <w:sz w:val="20"/>
        </w:rPr>
        <w:t>Makate</w:t>
      </w:r>
      <w:proofErr w:type="spellEnd"/>
      <w:r w:rsidRPr="00900813">
        <w:rPr>
          <w:rFonts w:ascii="Arial" w:hAnsi="Arial" w:cs="Arial"/>
          <w:sz w:val="20"/>
        </w:rPr>
        <w:t xml:space="preserve"> (Northern Cape), </w:t>
      </w:r>
      <w:proofErr w:type="spellStart"/>
      <w:r w:rsidRPr="00900813">
        <w:rPr>
          <w:rFonts w:ascii="Arial" w:hAnsi="Arial" w:cs="Arial"/>
          <w:sz w:val="20"/>
        </w:rPr>
        <w:t>Siseko</w:t>
      </w:r>
      <w:proofErr w:type="spellEnd"/>
      <w:r w:rsidRPr="00900813">
        <w:rPr>
          <w:rFonts w:ascii="Arial" w:hAnsi="Arial" w:cs="Arial"/>
          <w:sz w:val="20"/>
        </w:rPr>
        <w:t xml:space="preserve"> Martin (Western Cape), </w:t>
      </w:r>
      <w:proofErr w:type="spellStart"/>
      <w:r w:rsidRPr="00900813">
        <w:rPr>
          <w:rFonts w:ascii="Arial" w:hAnsi="Arial" w:cs="Arial"/>
          <w:sz w:val="20"/>
        </w:rPr>
        <w:t>Sonwabo</w:t>
      </w:r>
      <w:proofErr w:type="spellEnd"/>
      <w:r w:rsidRPr="00900813">
        <w:rPr>
          <w:rFonts w:ascii="Arial" w:hAnsi="Arial" w:cs="Arial"/>
          <w:sz w:val="20"/>
        </w:rPr>
        <w:t xml:space="preserve"> </w:t>
      </w:r>
      <w:proofErr w:type="spellStart"/>
      <w:r w:rsidRPr="00900813">
        <w:rPr>
          <w:rFonts w:ascii="Arial" w:hAnsi="Arial" w:cs="Arial"/>
          <w:sz w:val="20"/>
        </w:rPr>
        <w:t>Lindani</w:t>
      </w:r>
      <w:proofErr w:type="spellEnd"/>
      <w:r w:rsidRPr="00900813">
        <w:rPr>
          <w:rFonts w:ascii="Arial" w:hAnsi="Arial" w:cs="Arial"/>
          <w:sz w:val="20"/>
        </w:rPr>
        <w:t xml:space="preserve">, Stan Harvey, Stephanie </w:t>
      </w:r>
      <w:proofErr w:type="spellStart"/>
      <w:r w:rsidRPr="00900813">
        <w:rPr>
          <w:rFonts w:ascii="Arial" w:hAnsi="Arial" w:cs="Arial"/>
          <w:sz w:val="20"/>
        </w:rPr>
        <w:t>Schrag</w:t>
      </w:r>
      <w:proofErr w:type="spellEnd"/>
      <w:r w:rsidRPr="00900813">
        <w:rPr>
          <w:rFonts w:ascii="Arial" w:hAnsi="Arial" w:cs="Arial"/>
          <w:sz w:val="20"/>
        </w:rPr>
        <w:t xml:space="preserve"> (CDC), Steve Oliver (Western cape), </w:t>
      </w:r>
      <w:proofErr w:type="spellStart"/>
      <w:r w:rsidRPr="00900813">
        <w:rPr>
          <w:rFonts w:ascii="Arial" w:hAnsi="Arial" w:cs="Arial"/>
          <w:sz w:val="20"/>
        </w:rPr>
        <w:t>Sumayya</w:t>
      </w:r>
      <w:proofErr w:type="spellEnd"/>
      <w:r w:rsidRPr="00900813">
        <w:rPr>
          <w:rFonts w:ascii="Arial" w:hAnsi="Arial" w:cs="Arial"/>
          <w:sz w:val="20"/>
        </w:rPr>
        <w:t xml:space="preserve"> </w:t>
      </w:r>
      <w:proofErr w:type="spellStart"/>
      <w:r w:rsidRPr="00900813">
        <w:rPr>
          <w:rFonts w:ascii="Arial" w:hAnsi="Arial" w:cs="Arial"/>
          <w:sz w:val="20"/>
        </w:rPr>
        <w:t>Haffejee</w:t>
      </w:r>
      <w:proofErr w:type="spellEnd"/>
      <w:r w:rsidRPr="00900813">
        <w:rPr>
          <w:rFonts w:ascii="Arial" w:hAnsi="Arial" w:cs="Arial"/>
          <w:sz w:val="20"/>
        </w:rPr>
        <w:t xml:space="preserve">, </w:t>
      </w:r>
      <w:proofErr w:type="spellStart"/>
      <w:r w:rsidRPr="00900813">
        <w:rPr>
          <w:rFonts w:ascii="Arial" w:hAnsi="Arial" w:cs="Arial"/>
          <w:sz w:val="20"/>
        </w:rPr>
        <w:t>Sumayya</w:t>
      </w:r>
      <w:proofErr w:type="spellEnd"/>
      <w:r w:rsidRPr="00900813">
        <w:rPr>
          <w:rFonts w:ascii="Arial" w:hAnsi="Arial" w:cs="Arial"/>
          <w:sz w:val="20"/>
        </w:rPr>
        <w:t xml:space="preserve"> </w:t>
      </w:r>
      <w:proofErr w:type="spellStart"/>
      <w:r w:rsidRPr="00900813">
        <w:rPr>
          <w:rFonts w:ascii="Arial" w:hAnsi="Arial" w:cs="Arial"/>
          <w:sz w:val="20"/>
        </w:rPr>
        <w:t>Haffejee</w:t>
      </w:r>
      <w:proofErr w:type="spellEnd"/>
      <w:r w:rsidRPr="00900813">
        <w:rPr>
          <w:rFonts w:ascii="Arial" w:hAnsi="Arial" w:cs="Arial"/>
          <w:sz w:val="20"/>
        </w:rPr>
        <w:t xml:space="preserve"> (Kwa-Zulu Natal), Sunnieboy Njikho, Susan Gould, Susan Meiring, Suzy </w:t>
      </w:r>
      <w:proofErr w:type="spellStart"/>
      <w:r w:rsidRPr="00900813">
        <w:rPr>
          <w:rFonts w:ascii="Arial" w:hAnsi="Arial" w:cs="Arial"/>
          <w:sz w:val="20"/>
        </w:rPr>
        <w:t>Budavari</w:t>
      </w:r>
      <w:proofErr w:type="spellEnd"/>
      <w:r w:rsidRPr="00900813">
        <w:rPr>
          <w:rFonts w:ascii="Arial" w:hAnsi="Arial" w:cs="Arial"/>
          <w:sz w:val="20"/>
        </w:rPr>
        <w:t xml:space="preserve"> (LANCET), </w:t>
      </w:r>
      <w:proofErr w:type="spellStart"/>
      <w:r w:rsidRPr="00900813">
        <w:rPr>
          <w:rFonts w:ascii="Arial" w:hAnsi="Arial" w:cs="Arial"/>
          <w:sz w:val="20"/>
        </w:rPr>
        <w:t>Takalani</w:t>
      </w:r>
      <w:proofErr w:type="spellEnd"/>
      <w:r w:rsidRPr="00900813">
        <w:rPr>
          <w:rFonts w:ascii="Arial" w:hAnsi="Arial" w:cs="Arial"/>
          <w:sz w:val="20"/>
        </w:rPr>
        <w:t xml:space="preserve"> </w:t>
      </w:r>
      <w:proofErr w:type="spellStart"/>
      <w:r w:rsidRPr="00900813">
        <w:rPr>
          <w:rFonts w:ascii="Arial" w:hAnsi="Arial" w:cs="Arial"/>
          <w:sz w:val="20"/>
        </w:rPr>
        <w:t>Muditambi</w:t>
      </w:r>
      <w:proofErr w:type="spellEnd"/>
      <w:r w:rsidRPr="00900813">
        <w:rPr>
          <w:rFonts w:ascii="Arial" w:hAnsi="Arial" w:cs="Arial"/>
          <w:sz w:val="20"/>
        </w:rPr>
        <w:t xml:space="preserve"> (Limpopo), </w:t>
      </w:r>
      <w:proofErr w:type="spellStart"/>
      <w:r w:rsidRPr="00900813">
        <w:rPr>
          <w:rFonts w:ascii="Arial" w:hAnsi="Arial" w:cs="Arial"/>
          <w:sz w:val="20"/>
        </w:rPr>
        <w:t>Taskeen</w:t>
      </w:r>
      <w:proofErr w:type="spellEnd"/>
      <w:r w:rsidRPr="00900813">
        <w:rPr>
          <w:rFonts w:ascii="Arial" w:hAnsi="Arial" w:cs="Arial"/>
          <w:sz w:val="20"/>
        </w:rPr>
        <w:t xml:space="preserve"> Khan, </w:t>
      </w:r>
      <w:proofErr w:type="spellStart"/>
      <w:r w:rsidRPr="00900813">
        <w:rPr>
          <w:rFonts w:ascii="Arial" w:hAnsi="Arial" w:cs="Arial"/>
          <w:sz w:val="20"/>
        </w:rPr>
        <w:t>Tendesayi</w:t>
      </w:r>
      <w:proofErr w:type="spellEnd"/>
      <w:r w:rsidRPr="00900813">
        <w:rPr>
          <w:rFonts w:ascii="Arial" w:hAnsi="Arial" w:cs="Arial"/>
          <w:sz w:val="20"/>
        </w:rPr>
        <w:t xml:space="preserve"> </w:t>
      </w:r>
      <w:proofErr w:type="spellStart"/>
      <w:r w:rsidRPr="00900813">
        <w:rPr>
          <w:rFonts w:ascii="Arial" w:hAnsi="Arial" w:cs="Arial"/>
          <w:sz w:val="20"/>
        </w:rPr>
        <w:t>Kufa-Chakezha</w:t>
      </w:r>
      <w:proofErr w:type="spellEnd"/>
      <w:r w:rsidRPr="00900813">
        <w:rPr>
          <w:rFonts w:ascii="Arial" w:hAnsi="Arial" w:cs="Arial"/>
          <w:sz w:val="20"/>
        </w:rPr>
        <w:t xml:space="preserve">, </w:t>
      </w:r>
      <w:proofErr w:type="spellStart"/>
      <w:r w:rsidRPr="00900813">
        <w:rPr>
          <w:rFonts w:ascii="Arial" w:hAnsi="Arial" w:cs="Arial"/>
          <w:sz w:val="20"/>
        </w:rPr>
        <w:t>Thejane</w:t>
      </w:r>
      <w:proofErr w:type="spellEnd"/>
      <w:r w:rsidRPr="00900813">
        <w:rPr>
          <w:rFonts w:ascii="Arial" w:hAnsi="Arial" w:cs="Arial"/>
          <w:sz w:val="20"/>
        </w:rPr>
        <w:t xml:space="preserve"> </w:t>
      </w:r>
      <w:proofErr w:type="spellStart"/>
      <w:r w:rsidRPr="00900813">
        <w:rPr>
          <w:rFonts w:ascii="Arial" w:hAnsi="Arial" w:cs="Arial"/>
          <w:sz w:val="20"/>
        </w:rPr>
        <w:t>Motladiile</w:t>
      </w:r>
      <w:proofErr w:type="spellEnd"/>
      <w:r w:rsidRPr="00900813">
        <w:rPr>
          <w:rFonts w:ascii="Arial" w:hAnsi="Arial" w:cs="Arial"/>
          <w:sz w:val="20"/>
        </w:rPr>
        <w:t xml:space="preserve">, </w:t>
      </w:r>
      <w:proofErr w:type="spellStart"/>
      <w:r w:rsidRPr="00900813">
        <w:rPr>
          <w:rFonts w:ascii="Arial" w:hAnsi="Arial" w:cs="Arial"/>
          <w:sz w:val="20"/>
        </w:rPr>
        <w:t>Theunis</w:t>
      </w:r>
      <w:proofErr w:type="spellEnd"/>
      <w:r w:rsidRPr="00900813">
        <w:rPr>
          <w:rFonts w:ascii="Arial" w:hAnsi="Arial" w:cs="Arial"/>
          <w:sz w:val="20"/>
        </w:rPr>
        <w:t xml:space="preserve"> </w:t>
      </w:r>
      <w:proofErr w:type="spellStart"/>
      <w:r w:rsidRPr="00900813">
        <w:rPr>
          <w:rFonts w:ascii="Arial" w:hAnsi="Arial" w:cs="Arial"/>
          <w:sz w:val="20"/>
        </w:rPr>
        <w:t>Avenant</w:t>
      </w:r>
      <w:proofErr w:type="spellEnd"/>
      <w:r w:rsidRPr="00900813">
        <w:rPr>
          <w:rFonts w:ascii="Arial" w:hAnsi="Arial" w:cs="Arial"/>
          <w:sz w:val="20"/>
        </w:rPr>
        <w:t xml:space="preserve">, Tom Chiller, </w:t>
      </w:r>
      <w:proofErr w:type="spellStart"/>
      <w:r w:rsidRPr="00900813">
        <w:rPr>
          <w:rFonts w:ascii="Arial" w:hAnsi="Arial" w:cs="Arial"/>
          <w:sz w:val="20"/>
        </w:rPr>
        <w:t>Trusha</w:t>
      </w:r>
      <w:proofErr w:type="spellEnd"/>
      <w:r w:rsidRPr="00900813">
        <w:rPr>
          <w:rFonts w:ascii="Arial" w:hAnsi="Arial" w:cs="Arial"/>
          <w:sz w:val="20"/>
        </w:rPr>
        <w:t xml:space="preserve"> Nana, </w:t>
      </w:r>
      <w:proofErr w:type="spellStart"/>
      <w:r w:rsidRPr="00900813">
        <w:rPr>
          <w:rFonts w:ascii="Arial" w:hAnsi="Arial" w:cs="Arial"/>
          <w:sz w:val="20"/>
        </w:rPr>
        <w:t>Trusha</w:t>
      </w:r>
      <w:proofErr w:type="spellEnd"/>
      <w:r w:rsidRPr="00900813">
        <w:rPr>
          <w:rFonts w:ascii="Arial" w:hAnsi="Arial" w:cs="Arial"/>
          <w:sz w:val="20"/>
        </w:rPr>
        <w:t xml:space="preserve"> </w:t>
      </w:r>
      <w:proofErr w:type="spellStart"/>
      <w:r w:rsidRPr="00900813">
        <w:rPr>
          <w:rFonts w:ascii="Arial" w:hAnsi="Arial" w:cs="Arial"/>
          <w:sz w:val="20"/>
        </w:rPr>
        <w:t>Vanmali</w:t>
      </w:r>
      <w:proofErr w:type="spellEnd"/>
      <w:r w:rsidRPr="00900813">
        <w:rPr>
          <w:rFonts w:ascii="Arial" w:hAnsi="Arial" w:cs="Arial"/>
          <w:sz w:val="20"/>
        </w:rPr>
        <w:t xml:space="preserve">, Ute </w:t>
      </w:r>
      <w:proofErr w:type="spellStart"/>
      <w:r w:rsidRPr="00900813">
        <w:rPr>
          <w:rFonts w:ascii="Arial" w:hAnsi="Arial" w:cs="Arial"/>
          <w:sz w:val="20"/>
        </w:rPr>
        <w:t>Hallbauer</w:t>
      </w:r>
      <w:proofErr w:type="spellEnd"/>
      <w:r w:rsidRPr="00900813">
        <w:rPr>
          <w:rFonts w:ascii="Arial" w:hAnsi="Arial" w:cs="Arial"/>
          <w:sz w:val="20"/>
        </w:rPr>
        <w:t xml:space="preserve"> (Free state), Vanessa Pearce (Eastern Cape), Vanessa Quan (NICD), Veerle Msimang, Verushka Chetty (NICD), Vicky </w:t>
      </w:r>
      <w:proofErr w:type="spellStart"/>
      <w:r w:rsidRPr="00900813">
        <w:rPr>
          <w:rFonts w:ascii="Arial" w:hAnsi="Arial" w:cs="Arial"/>
          <w:sz w:val="20"/>
        </w:rPr>
        <w:t>Kleinhans</w:t>
      </w:r>
      <w:proofErr w:type="spellEnd"/>
      <w:r w:rsidRPr="00900813">
        <w:rPr>
          <w:rFonts w:ascii="Arial" w:hAnsi="Arial" w:cs="Arial"/>
          <w:sz w:val="20"/>
        </w:rPr>
        <w:t xml:space="preserve"> (Free State), Victor Fernandez, </w:t>
      </w:r>
      <w:proofErr w:type="spellStart"/>
      <w:r w:rsidRPr="00900813">
        <w:rPr>
          <w:rFonts w:ascii="Arial" w:hAnsi="Arial" w:cs="Arial"/>
          <w:sz w:val="20"/>
        </w:rPr>
        <w:t>Vindana</w:t>
      </w:r>
      <w:proofErr w:type="spellEnd"/>
      <w:r w:rsidRPr="00900813">
        <w:rPr>
          <w:rFonts w:ascii="Arial" w:hAnsi="Arial" w:cs="Arial"/>
          <w:sz w:val="20"/>
        </w:rPr>
        <w:t xml:space="preserve"> </w:t>
      </w:r>
      <w:proofErr w:type="spellStart"/>
      <w:r w:rsidRPr="00900813">
        <w:rPr>
          <w:rFonts w:ascii="Arial" w:hAnsi="Arial" w:cs="Arial"/>
          <w:sz w:val="20"/>
        </w:rPr>
        <w:t>Chibabhai</w:t>
      </w:r>
      <w:proofErr w:type="spellEnd"/>
      <w:r w:rsidRPr="00900813">
        <w:rPr>
          <w:rFonts w:ascii="Arial" w:hAnsi="Arial" w:cs="Arial"/>
          <w:sz w:val="20"/>
        </w:rPr>
        <w:t xml:space="preserve"> (Gauteng), </w:t>
      </w:r>
      <w:proofErr w:type="spellStart"/>
      <w:r w:rsidRPr="00900813">
        <w:rPr>
          <w:rFonts w:ascii="Arial" w:hAnsi="Arial" w:cs="Arial"/>
          <w:sz w:val="20"/>
        </w:rPr>
        <w:t>Vivek</w:t>
      </w:r>
      <w:proofErr w:type="spellEnd"/>
      <w:r w:rsidRPr="00900813">
        <w:rPr>
          <w:rFonts w:ascii="Arial" w:hAnsi="Arial" w:cs="Arial"/>
          <w:sz w:val="20"/>
        </w:rPr>
        <w:t xml:space="preserve"> Bhat (Eastern Cape), Vusi </w:t>
      </w:r>
      <w:proofErr w:type="spellStart"/>
      <w:r w:rsidRPr="00900813">
        <w:rPr>
          <w:rFonts w:ascii="Arial" w:hAnsi="Arial" w:cs="Arial"/>
          <w:sz w:val="20"/>
        </w:rPr>
        <w:t>Nokeri</w:t>
      </w:r>
      <w:proofErr w:type="spellEnd"/>
      <w:r w:rsidRPr="00900813">
        <w:rPr>
          <w:rFonts w:ascii="Arial" w:hAnsi="Arial" w:cs="Arial"/>
          <w:sz w:val="20"/>
        </w:rPr>
        <w:t xml:space="preserve"> (NICD), Warren Lowman (</w:t>
      </w:r>
      <w:proofErr w:type="spellStart"/>
      <w:r w:rsidRPr="00900813">
        <w:rPr>
          <w:rFonts w:ascii="Arial" w:hAnsi="Arial" w:cs="Arial"/>
          <w:sz w:val="20"/>
        </w:rPr>
        <w:t>Vermaak</w:t>
      </w:r>
      <w:proofErr w:type="spellEnd"/>
      <w:r w:rsidRPr="00900813">
        <w:rPr>
          <w:rFonts w:ascii="Arial" w:hAnsi="Arial" w:cs="Arial"/>
          <w:sz w:val="20"/>
        </w:rPr>
        <w:t xml:space="preserve"> and </w:t>
      </w:r>
      <w:proofErr w:type="spellStart"/>
      <w:r w:rsidRPr="00900813">
        <w:rPr>
          <w:rFonts w:ascii="Arial" w:hAnsi="Arial" w:cs="Arial"/>
          <w:sz w:val="20"/>
        </w:rPr>
        <w:t>Vennote</w:t>
      </w:r>
      <w:proofErr w:type="spellEnd"/>
      <w:r w:rsidRPr="00900813">
        <w:rPr>
          <w:rFonts w:ascii="Arial" w:hAnsi="Arial" w:cs="Arial"/>
          <w:sz w:val="20"/>
        </w:rPr>
        <w:t xml:space="preserve">), </w:t>
      </w:r>
      <w:proofErr w:type="spellStart"/>
      <w:r w:rsidRPr="00900813">
        <w:rPr>
          <w:rFonts w:ascii="Arial" w:hAnsi="Arial" w:cs="Arial"/>
          <w:sz w:val="20"/>
        </w:rPr>
        <w:t>Wim</w:t>
      </w:r>
      <w:proofErr w:type="spellEnd"/>
      <w:r w:rsidRPr="00900813">
        <w:rPr>
          <w:rFonts w:ascii="Arial" w:hAnsi="Arial" w:cs="Arial"/>
          <w:sz w:val="20"/>
        </w:rPr>
        <w:t xml:space="preserve"> Sturm, </w:t>
      </w:r>
      <w:proofErr w:type="spellStart"/>
      <w:r w:rsidRPr="00900813">
        <w:rPr>
          <w:rFonts w:ascii="Arial" w:hAnsi="Arial" w:cs="Arial"/>
          <w:sz w:val="20"/>
        </w:rPr>
        <w:t>Xoliswa</w:t>
      </w:r>
      <w:proofErr w:type="spellEnd"/>
      <w:r w:rsidRPr="00900813">
        <w:rPr>
          <w:rFonts w:ascii="Arial" w:hAnsi="Arial" w:cs="Arial"/>
          <w:sz w:val="20"/>
        </w:rPr>
        <w:t xml:space="preserve"> </w:t>
      </w:r>
      <w:proofErr w:type="spellStart"/>
      <w:r w:rsidRPr="00900813">
        <w:rPr>
          <w:rFonts w:ascii="Arial" w:hAnsi="Arial" w:cs="Arial"/>
          <w:sz w:val="20"/>
        </w:rPr>
        <w:t>Poswa</w:t>
      </w:r>
      <w:proofErr w:type="spellEnd"/>
      <w:r w:rsidRPr="00900813">
        <w:rPr>
          <w:rFonts w:ascii="Arial" w:hAnsi="Arial" w:cs="Arial"/>
          <w:sz w:val="20"/>
        </w:rPr>
        <w:t xml:space="preserve"> (</w:t>
      </w:r>
      <w:proofErr w:type="spellStart"/>
      <w:r w:rsidRPr="00900813">
        <w:rPr>
          <w:rFonts w:ascii="Arial" w:hAnsi="Arial" w:cs="Arial"/>
          <w:sz w:val="20"/>
        </w:rPr>
        <w:t>Ampath</w:t>
      </w:r>
      <w:proofErr w:type="spellEnd"/>
      <w:r w:rsidRPr="00900813">
        <w:rPr>
          <w:rFonts w:ascii="Arial" w:hAnsi="Arial" w:cs="Arial"/>
          <w:sz w:val="20"/>
        </w:rPr>
        <w:t xml:space="preserve"> laboratories), </w:t>
      </w:r>
      <w:proofErr w:type="spellStart"/>
      <w:r w:rsidRPr="00900813">
        <w:rPr>
          <w:rFonts w:ascii="Arial" w:hAnsi="Arial" w:cs="Arial"/>
          <w:sz w:val="20"/>
        </w:rPr>
        <w:t>Yacoob</w:t>
      </w:r>
      <w:proofErr w:type="spellEnd"/>
      <w:r w:rsidRPr="00900813">
        <w:rPr>
          <w:rFonts w:ascii="Arial" w:hAnsi="Arial" w:cs="Arial"/>
          <w:sz w:val="20"/>
        </w:rPr>
        <w:t xml:space="preserve"> </w:t>
      </w:r>
      <w:proofErr w:type="spellStart"/>
      <w:r w:rsidRPr="00900813">
        <w:rPr>
          <w:rFonts w:ascii="Arial" w:hAnsi="Arial" w:cs="Arial"/>
          <w:sz w:val="20"/>
        </w:rPr>
        <w:t>Coovadia</w:t>
      </w:r>
      <w:proofErr w:type="spellEnd"/>
      <w:r w:rsidRPr="00900813">
        <w:rPr>
          <w:rFonts w:ascii="Arial" w:hAnsi="Arial" w:cs="Arial"/>
          <w:sz w:val="20"/>
        </w:rPr>
        <w:t xml:space="preserve"> (Kwa-Zulu Natal) and </w:t>
      </w:r>
      <w:proofErr w:type="spellStart"/>
      <w:r w:rsidRPr="00900813">
        <w:rPr>
          <w:rFonts w:ascii="Arial" w:hAnsi="Arial" w:cs="Arial"/>
          <w:sz w:val="20"/>
        </w:rPr>
        <w:t>Yesho</w:t>
      </w:r>
      <w:proofErr w:type="spellEnd"/>
      <w:r w:rsidRPr="00900813">
        <w:rPr>
          <w:rFonts w:ascii="Arial" w:hAnsi="Arial" w:cs="Arial"/>
          <w:sz w:val="20"/>
        </w:rPr>
        <w:t xml:space="preserve"> </w:t>
      </w:r>
      <w:proofErr w:type="spellStart"/>
      <w:r w:rsidRPr="00900813">
        <w:rPr>
          <w:rFonts w:ascii="Arial" w:hAnsi="Arial" w:cs="Arial"/>
          <w:sz w:val="20"/>
        </w:rPr>
        <w:t>Mahabeer</w:t>
      </w:r>
      <w:proofErr w:type="spellEnd"/>
      <w:r w:rsidRPr="00900813">
        <w:rPr>
          <w:rFonts w:ascii="Arial" w:hAnsi="Arial" w:cs="Arial"/>
          <w:sz w:val="20"/>
        </w:rPr>
        <w:t>.</w:t>
      </w:r>
    </w:p>
    <w:sectPr w:rsidR="00F16732" w:rsidRPr="00900813" w:rsidSect="007F0441">
      <w:pgSz w:w="11906" w:h="16838"/>
      <w:pgMar w:top="1440" w:right="113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16074" w14:textId="77777777" w:rsidR="00C1436B" w:rsidRDefault="00C1436B" w:rsidP="002A4FB6">
      <w:pPr>
        <w:spacing w:after="0" w:line="240" w:lineRule="auto"/>
      </w:pPr>
      <w:r>
        <w:separator/>
      </w:r>
    </w:p>
  </w:endnote>
  <w:endnote w:type="continuationSeparator" w:id="0">
    <w:p w14:paraId="205FB730" w14:textId="77777777" w:rsidR="00C1436B" w:rsidRDefault="00C1436B" w:rsidP="002A4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4435439"/>
      <w:docPartObj>
        <w:docPartGallery w:val="Page Numbers (Bottom of Page)"/>
        <w:docPartUnique/>
      </w:docPartObj>
    </w:sdtPr>
    <w:sdtContent>
      <w:sdt>
        <w:sdtPr>
          <w:id w:val="-1769616900"/>
          <w:docPartObj>
            <w:docPartGallery w:val="Page Numbers (Top of Page)"/>
            <w:docPartUnique/>
          </w:docPartObj>
        </w:sdtPr>
        <w:sdtContent>
          <w:p w14:paraId="71BA38E5" w14:textId="074F1461" w:rsidR="007F2A9A" w:rsidRDefault="007F2A9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57CE4">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57CE4">
              <w:rPr>
                <w:b/>
                <w:bCs/>
                <w:noProof/>
              </w:rPr>
              <w:t>13</w:t>
            </w:r>
            <w:r>
              <w:rPr>
                <w:b/>
                <w:bCs/>
                <w:sz w:val="24"/>
                <w:szCs w:val="24"/>
              </w:rPr>
              <w:fldChar w:fldCharType="end"/>
            </w:r>
          </w:p>
        </w:sdtContent>
      </w:sdt>
    </w:sdtContent>
  </w:sdt>
  <w:p w14:paraId="6E5E4BC4" w14:textId="77777777" w:rsidR="007F2A9A" w:rsidRDefault="007F2A9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699B2" w14:textId="77777777" w:rsidR="00C1436B" w:rsidRDefault="00C1436B" w:rsidP="002A4FB6">
      <w:pPr>
        <w:spacing w:after="0" w:line="240" w:lineRule="auto"/>
      </w:pPr>
      <w:r>
        <w:separator/>
      </w:r>
    </w:p>
  </w:footnote>
  <w:footnote w:type="continuationSeparator" w:id="0">
    <w:p w14:paraId="57F150A3" w14:textId="77777777" w:rsidR="00C1436B" w:rsidRDefault="00C1436B" w:rsidP="002A4F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E09FC"/>
    <w:multiLevelType w:val="multilevel"/>
    <w:tmpl w:val="6972AB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732"/>
    <w:rsid w:val="0002646A"/>
    <w:rsid w:val="00056244"/>
    <w:rsid w:val="00057CE4"/>
    <w:rsid w:val="000C630A"/>
    <w:rsid w:val="000D0CB5"/>
    <w:rsid w:val="000E3BF5"/>
    <w:rsid w:val="000E62DE"/>
    <w:rsid w:val="000F6EBC"/>
    <w:rsid w:val="000F7CDB"/>
    <w:rsid w:val="0012195E"/>
    <w:rsid w:val="00125C72"/>
    <w:rsid w:val="001673D8"/>
    <w:rsid w:val="00197EB2"/>
    <w:rsid w:val="001A4F4C"/>
    <w:rsid w:val="0020685B"/>
    <w:rsid w:val="0021079E"/>
    <w:rsid w:val="0024575B"/>
    <w:rsid w:val="002903ED"/>
    <w:rsid w:val="002A4FB6"/>
    <w:rsid w:val="002F6E14"/>
    <w:rsid w:val="00307721"/>
    <w:rsid w:val="00312BFB"/>
    <w:rsid w:val="00313E94"/>
    <w:rsid w:val="00390365"/>
    <w:rsid w:val="003A6E49"/>
    <w:rsid w:val="0040793D"/>
    <w:rsid w:val="00480004"/>
    <w:rsid w:val="004D1E22"/>
    <w:rsid w:val="004D79A3"/>
    <w:rsid w:val="00561478"/>
    <w:rsid w:val="00613FA3"/>
    <w:rsid w:val="00651B52"/>
    <w:rsid w:val="006F2AA8"/>
    <w:rsid w:val="006F354E"/>
    <w:rsid w:val="00700621"/>
    <w:rsid w:val="00743203"/>
    <w:rsid w:val="007C4985"/>
    <w:rsid w:val="007C7DA1"/>
    <w:rsid w:val="007F0441"/>
    <w:rsid w:val="007F2A9A"/>
    <w:rsid w:val="00881AAF"/>
    <w:rsid w:val="00881F21"/>
    <w:rsid w:val="008A4076"/>
    <w:rsid w:val="00900286"/>
    <w:rsid w:val="00900813"/>
    <w:rsid w:val="0093184A"/>
    <w:rsid w:val="009E74E1"/>
    <w:rsid w:val="00A37FB6"/>
    <w:rsid w:val="00A868A5"/>
    <w:rsid w:val="00B11BCF"/>
    <w:rsid w:val="00B940F2"/>
    <w:rsid w:val="00C1436B"/>
    <w:rsid w:val="00CE7372"/>
    <w:rsid w:val="00CF32A2"/>
    <w:rsid w:val="00D5275C"/>
    <w:rsid w:val="00D80BCF"/>
    <w:rsid w:val="00DA1152"/>
    <w:rsid w:val="00DE007A"/>
    <w:rsid w:val="00DF78A5"/>
    <w:rsid w:val="00EB05E7"/>
    <w:rsid w:val="00EB3167"/>
    <w:rsid w:val="00EE17AE"/>
    <w:rsid w:val="00EF0307"/>
    <w:rsid w:val="00F151F8"/>
    <w:rsid w:val="00F16732"/>
    <w:rsid w:val="00F33243"/>
    <w:rsid w:val="00F64A4C"/>
    <w:rsid w:val="00F809A1"/>
    <w:rsid w:val="00FA4BB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1D90A"/>
  <w15:chartTrackingRefBased/>
  <w15:docId w15:val="{963A9EA8-CCE3-4E97-A259-CCC1D251E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12BFB"/>
    <w:pPr>
      <w:keepNext/>
      <w:keepLines/>
      <w:spacing w:before="240" w:after="0" w:line="480" w:lineRule="auto"/>
      <w:jc w:val="both"/>
      <w:outlineLvl w:val="0"/>
    </w:pPr>
    <w:rPr>
      <w:rFonts w:ascii="Arial" w:eastAsiaTheme="majorEastAsia" w:hAnsi="Arial" w:cstheme="majorBidi"/>
      <w:b/>
      <w:color w:val="000000" w:themeColor="text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732"/>
    <w:pPr>
      <w:ind w:left="720"/>
      <w:contextualSpacing/>
    </w:pPr>
  </w:style>
  <w:style w:type="character" w:styleId="Hyperlink">
    <w:name w:val="Hyperlink"/>
    <w:basedOn w:val="DefaultParagraphFont"/>
    <w:uiPriority w:val="99"/>
    <w:unhideWhenUsed/>
    <w:rsid w:val="00F16732"/>
    <w:rPr>
      <w:color w:val="000000" w:themeColor="text1"/>
      <w:u w:val="none"/>
    </w:rPr>
  </w:style>
  <w:style w:type="paragraph" w:customStyle="1" w:styleId="EndNoteBibliography">
    <w:name w:val="EndNote Bibliography"/>
    <w:basedOn w:val="Normal"/>
    <w:link w:val="EndNoteBibliographyChar"/>
    <w:rsid w:val="00F16732"/>
    <w:pPr>
      <w:spacing w:after="200" w:line="240" w:lineRule="auto"/>
      <w:jc w:val="both"/>
    </w:pPr>
    <w:rPr>
      <w:rFonts w:ascii="Arial" w:hAnsi="Arial" w:cs="Arial"/>
      <w:noProof/>
      <w:sz w:val="24"/>
      <w:szCs w:val="24"/>
      <w:lang w:val="en-US"/>
    </w:rPr>
  </w:style>
  <w:style w:type="character" w:customStyle="1" w:styleId="EndNoteBibliographyChar">
    <w:name w:val="EndNote Bibliography Char"/>
    <w:basedOn w:val="DefaultParagraphFont"/>
    <w:link w:val="EndNoteBibliography"/>
    <w:rsid w:val="00F16732"/>
    <w:rPr>
      <w:rFonts w:ascii="Arial" w:hAnsi="Arial" w:cs="Arial"/>
      <w:noProof/>
      <w:sz w:val="24"/>
      <w:szCs w:val="24"/>
      <w:lang w:val="en-US"/>
    </w:rPr>
  </w:style>
  <w:style w:type="table" w:styleId="PlainTable4">
    <w:name w:val="Plain Table 4"/>
    <w:basedOn w:val="TableNormal"/>
    <w:uiPriority w:val="44"/>
    <w:rsid w:val="00F16732"/>
    <w:pPr>
      <w:spacing w:after="0" w:line="240" w:lineRule="auto"/>
    </w:pPr>
    <w:rPr>
      <w:rFonts w:ascii="Arial" w:hAnsi="Arial"/>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3A6E49"/>
    <w:rPr>
      <w:sz w:val="16"/>
      <w:szCs w:val="16"/>
    </w:rPr>
  </w:style>
  <w:style w:type="paragraph" w:styleId="CommentText">
    <w:name w:val="annotation text"/>
    <w:basedOn w:val="Normal"/>
    <w:link w:val="CommentTextChar"/>
    <w:uiPriority w:val="99"/>
    <w:semiHidden/>
    <w:unhideWhenUsed/>
    <w:rsid w:val="003A6E49"/>
    <w:pPr>
      <w:spacing w:line="240" w:lineRule="auto"/>
    </w:pPr>
    <w:rPr>
      <w:sz w:val="20"/>
      <w:szCs w:val="20"/>
    </w:rPr>
  </w:style>
  <w:style w:type="character" w:customStyle="1" w:styleId="CommentTextChar">
    <w:name w:val="Comment Text Char"/>
    <w:basedOn w:val="DefaultParagraphFont"/>
    <w:link w:val="CommentText"/>
    <w:uiPriority w:val="99"/>
    <w:semiHidden/>
    <w:rsid w:val="003A6E49"/>
    <w:rPr>
      <w:sz w:val="20"/>
      <w:szCs w:val="20"/>
    </w:rPr>
  </w:style>
  <w:style w:type="paragraph" w:styleId="CommentSubject">
    <w:name w:val="annotation subject"/>
    <w:basedOn w:val="CommentText"/>
    <w:next w:val="CommentText"/>
    <w:link w:val="CommentSubjectChar"/>
    <w:uiPriority w:val="99"/>
    <w:semiHidden/>
    <w:unhideWhenUsed/>
    <w:rsid w:val="003A6E49"/>
    <w:rPr>
      <w:b/>
      <w:bCs/>
    </w:rPr>
  </w:style>
  <w:style w:type="character" w:customStyle="1" w:styleId="CommentSubjectChar">
    <w:name w:val="Comment Subject Char"/>
    <w:basedOn w:val="CommentTextChar"/>
    <w:link w:val="CommentSubject"/>
    <w:uiPriority w:val="99"/>
    <w:semiHidden/>
    <w:rsid w:val="003A6E49"/>
    <w:rPr>
      <w:b/>
      <w:bCs/>
      <w:sz w:val="20"/>
      <w:szCs w:val="20"/>
    </w:rPr>
  </w:style>
  <w:style w:type="paragraph" w:styleId="BalloonText">
    <w:name w:val="Balloon Text"/>
    <w:basedOn w:val="Normal"/>
    <w:link w:val="BalloonTextChar"/>
    <w:uiPriority w:val="99"/>
    <w:semiHidden/>
    <w:unhideWhenUsed/>
    <w:rsid w:val="003A6E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6E49"/>
    <w:rPr>
      <w:rFonts w:ascii="Segoe UI" w:hAnsi="Segoe UI" w:cs="Segoe UI"/>
      <w:sz w:val="18"/>
      <w:szCs w:val="18"/>
    </w:rPr>
  </w:style>
  <w:style w:type="character" w:customStyle="1" w:styleId="Heading1Char">
    <w:name w:val="Heading 1 Char"/>
    <w:basedOn w:val="DefaultParagraphFont"/>
    <w:link w:val="Heading1"/>
    <w:uiPriority w:val="9"/>
    <w:rsid w:val="00312BFB"/>
    <w:rPr>
      <w:rFonts w:ascii="Arial" w:eastAsiaTheme="majorEastAsia" w:hAnsi="Arial" w:cstheme="majorBidi"/>
      <w:b/>
      <w:color w:val="000000" w:themeColor="text1"/>
      <w:sz w:val="28"/>
      <w:szCs w:val="32"/>
    </w:rPr>
  </w:style>
  <w:style w:type="table" w:styleId="TableGrid">
    <w:name w:val="Table Grid"/>
    <w:basedOn w:val="TableNormal"/>
    <w:uiPriority w:val="39"/>
    <w:rsid w:val="002A4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4F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4FB6"/>
  </w:style>
  <w:style w:type="paragraph" w:styleId="Footer">
    <w:name w:val="footer"/>
    <w:basedOn w:val="Normal"/>
    <w:link w:val="FooterChar"/>
    <w:uiPriority w:val="99"/>
    <w:unhideWhenUsed/>
    <w:rsid w:val="002A4F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4FB6"/>
  </w:style>
  <w:style w:type="table" w:customStyle="1" w:styleId="TableGrid11">
    <w:name w:val="Table Grid11"/>
    <w:basedOn w:val="TableNormal"/>
    <w:next w:val="TableGrid"/>
    <w:uiPriority w:val="39"/>
    <w:rsid w:val="008A4076"/>
    <w:pPr>
      <w:spacing w:after="0" w:line="240" w:lineRule="auto"/>
    </w:pPr>
    <w:rPr>
      <w:rFonts w:ascii="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F6EBC"/>
    <w:pPr>
      <w:spacing w:after="0" w:line="240" w:lineRule="auto"/>
    </w:pPr>
    <w:rPr>
      <w:rFonts w:ascii="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28323">
      <w:bodyDiv w:val="1"/>
      <w:marLeft w:val="0"/>
      <w:marRight w:val="0"/>
      <w:marTop w:val="0"/>
      <w:marBottom w:val="0"/>
      <w:divBdr>
        <w:top w:val="none" w:sz="0" w:space="0" w:color="auto"/>
        <w:left w:val="none" w:sz="0" w:space="0" w:color="auto"/>
        <w:bottom w:val="none" w:sz="0" w:space="0" w:color="auto"/>
        <w:right w:val="none" w:sz="0" w:space="0" w:color="auto"/>
      </w:divBdr>
    </w:div>
    <w:div w:id="251813928">
      <w:bodyDiv w:val="1"/>
      <w:marLeft w:val="0"/>
      <w:marRight w:val="0"/>
      <w:marTop w:val="0"/>
      <w:marBottom w:val="0"/>
      <w:divBdr>
        <w:top w:val="none" w:sz="0" w:space="0" w:color="auto"/>
        <w:left w:val="none" w:sz="0" w:space="0" w:color="auto"/>
        <w:bottom w:val="none" w:sz="0" w:space="0" w:color="auto"/>
        <w:right w:val="none" w:sz="0" w:space="0" w:color="auto"/>
      </w:divBdr>
    </w:div>
    <w:div w:id="259222553">
      <w:bodyDiv w:val="1"/>
      <w:marLeft w:val="0"/>
      <w:marRight w:val="0"/>
      <w:marTop w:val="0"/>
      <w:marBottom w:val="0"/>
      <w:divBdr>
        <w:top w:val="none" w:sz="0" w:space="0" w:color="auto"/>
        <w:left w:val="none" w:sz="0" w:space="0" w:color="auto"/>
        <w:bottom w:val="none" w:sz="0" w:space="0" w:color="auto"/>
        <w:right w:val="none" w:sz="0" w:space="0" w:color="auto"/>
      </w:divBdr>
    </w:div>
    <w:div w:id="301351762">
      <w:bodyDiv w:val="1"/>
      <w:marLeft w:val="0"/>
      <w:marRight w:val="0"/>
      <w:marTop w:val="0"/>
      <w:marBottom w:val="0"/>
      <w:divBdr>
        <w:top w:val="none" w:sz="0" w:space="0" w:color="auto"/>
        <w:left w:val="none" w:sz="0" w:space="0" w:color="auto"/>
        <w:bottom w:val="none" w:sz="0" w:space="0" w:color="auto"/>
        <w:right w:val="none" w:sz="0" w:space="0" w:color="auto"/>
      </w:divBdr>
    </w:div>
    <w:div w:id="323752392">
      <w:bodyDiv w:val="1"/>
      <w:marLeft w:val="0"/>
      <w:marRight w:val="0"/>
      <w:marTop w:val="0"/>
      <w:marBottom w:val="0"/>
      <w:divBdr>
        <w:top w:val="none" w:sz="0" w:space="0" w:color="auto"/>
        <w:left w:val="none" w:sz="0" w:space="0" w:color="auto"/>
        <w:bottom w:val="none" w:sz="0" w:space="0" w:color="auto"/>
        <w:right w:val="none" w:sz="0" w:space="0" w:color="auto"/>
      </w:divBdr>
    </w:div>
    <w:div w:id="374934397">
      <w:bodyDiv w:val="1"/>
      <w:marLeft w:val="0"/>
      <w:marRight w:val="0"/>
      <w:marTop w:val="0"/>
      <w:marBottom w:val="0"/>
      <w:divBdr>
        <w:top w:val="none" w:sz="0" w:space="0" w:color="auto"/>
        <w:left w:val="none" w:sz="0" w:space="0" w:color="auto"/>
        <w:bottom w:val="none" w:sz="0" w:space="0" w:color="auto"/>
        <w:right w:val="none" w:sz="0" w:space="0" w:color="auto"/>
      </w:divBdr>
    </w:div>
    <w:div w:id="453868699">
      <w:bodyDiv w:val="1"/>
      <w:marLeft w:val="0"/>
      <w:marRight w:val="0"/>
      <w:marTop w:val="0"/>
      <w:marBottom w:val="0"/>
      <w:divBdr>
        <w:top w:val="none" w:sz="0" w:space="0" w:color="auto"/>
        <w:left w:val="none" w:sz="0" w:space="0" w:color="auto"/>
        <w:bottom w:val="none" w:sz="0" w:space="0" w:color="auto"/>
        <w:right w:val="none" w:sz="0" w:space="0" w:color="auto"/>
      </w:divBdr>
    </w:div>
    <w:div w:id="670334350">
      <w:bodyDiv w:val="1"/>
      <w:marLeft w:val="0"/>
      <w:marRight w:val="0"/>
      <w:marTop w:val="0"/>
      <w:marBottom w:val="0"/>
      <w:divBdr>
        <w:top w:val="none" w:sz="0" w:space="0" w:color="auto"/>
        <w:left w:val="none" w:sz="0" w:space="0" w:color="auto"/>
        <w:bottom w:val="none" w:sz="0" w:space="0" w:color="auto"/>
        <w:right w:val="none" w:sz="0" w:space="0" w:color="auto"/>
      </w:divBdr>
    </w:div>
    <w:div w:id="1100444395">
      <w:bodyDiv w:val="1"/>
      <w:marLeft w:val="0"/>
      <w:marRight w:val="0"/>
      <w:marTop w:val="0"/>
      <w:marBottom w:val="0"/>
      <w:divBdr>
        <w:top w:val="none" w:sz="0" w:space="0" w:color="auto"/>
        <w:left w:val="none" w:sz="0" w:space="0" w:color="auto"/>
        <w:bottom w:val="none" w:sz="0" w:space="0" w:color="auto"/>
        <w:right w:val="none" w:sz="0" w:space="0" w:color="auto"/>
      </w:divBdr>
    </w:div>
    <w:div w:id="1307933528">
      <w:bodyDiv w:val="1"/>
      <w:marLeft w:val="0"/>
      <w:marRight w:val="0"/>
      <w:marTop w:val="0"/>
      <w:marBottom w:val="0"/>
      <w:divBdr>
        <w:top w:val="none" w:sz="0" w:space="0" w:color="auto"/>
        <w:left w:val="none" w:sz="0" w:space="0" w:color="auto"/>
        <w:bottom w:val="none" w:sz="0" w:space="0" w:color="auto"/>
        <w:right w:val="none" w:sz="0" w:space="0" w:color="auto"/>
      </w:divBdr>
    </w:div>
    <w:div w:id="1950501147">
      <w:bodyDiv w:val="1"/>
      <w:marLeft w:val="0"/>
      <w:marRight w:val="0"/>
      <w:marTop w:val="0"/>
      <w:marBottom w:val="0"/>
      <w:divBdr>
        <w:top w:val="none" w:sz="0" w:space="0" w:color="auto"/>
        <w:left w:val="none" w:sz="0" w:space="0" w:color="auto"/>
        <w:bottom w:val="none" w:sz="0" w:space="0" w:color="auto"/>
        <w:right w:val="none" w:sz="0" w:space="0" w:color="auto"/>
      </w:divBdr>
    </w:div>
    <w:div w:id="1957131241">
      <w:bodyDiv w:val="1"/>
      <w:marLeft w:val="0"/>
      <w:marRight w:val="0"/>
      <w:marTop w:val="0"/>
      <w:marBottom w:val="0"/>
      <w:divBdr>
        <w:top w:val="none" w:sz="0" w:space="0" w:color="auto"/>
        <w:left w:val="none" w:sz="0" w:space="0" w:color="auto"/>
        <w:bottom w:val="none" w:sz="0" w:space="0" w:color="auto"/>
        <w:right w:val="none" w:sz="0" w:space="0" w:color="auto"/>
      </w:divBdr>
    </w:div>
    <w:div w:id="196688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13</Pages>
  <Words>3626</Words>
  <Characters>20669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NICD</Company>
  <LinksUpToDate>false</LinksUpToDate>
  <CharactersWithSpaces>24247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Kleynhans</dc:creator>
  <cp:keywords/>
  <dc:description/>
  <cp:lastModifiedBy>Jackie Kleynhans</cp:lastModifiedBy>
  <cp:revision>4</cp:revision>
  <dcterms:created xsi:type="dcterms:W3CDTF">2019-02-07T05:23:00Z</dcterms:created>
  <dcterms:modified xsi:type="dcterms:W3CDTF">2019-02-07T06:35:00Z</dcterms:modified>
</cp:coreProperties>
</file>