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DCA5" w14:textId="0C376E64" w:rsidR="006B0FC6" w:rsidRDefault="006B0FC6">
      <w:bookmarkStart w:id="0" w:name="_GoBack"/>
      <w:bookmarkEnd w:id="0"/>
      <w:r w:rsidRPr="006B0FC6">
        <w:rPr>
          <w:b/>
        </w:rPr>
        <w:t>Figure S1.</w:t>
      </w:r>
      <w:r>
        <w:t xml:space="preserve"> Elimination of BDE28 with </w:t>
      </w:r>
      <w:r w:rsidR="007C3C16">
        <w:t xml:space="preserve">residence </w:t>
      </w:r>
      <w:r>
        <w:t>time (1.5 years) in Australia for the single subject selected for half-life determination.</w:t>
      </w:r>
      <w:r w:rsidR="000C2527">
        <w:t xml:space="preserve"> Red dots show actual measured concentration and blue lines show median concentration and 2.5</w:t>
      </w:r>
      <w:r w:rsidR="000C2527" w:rsidRPr="00CA2453">
        <w:rPr>
          <w:vertAlign w:val="superscript"/>
        </w:rPr>
        <w:t>th</w:t>
      </w:r>
      <w:r w:rsidR="000C2527">
        <w:t xml:space="preserve"> and 97.5</w:t>
      </w:r>
      <w:r w:rsidR="000C2527" w:rsidRPr="00CA2453">
        <w:rPr>
          <w:vertAlign w:val="superscript"/>
        </w:rPr>
        <w:t>th</w:t>
      </w:r>
      <w:r w:rsidR="000C2527">
        <w:t xml:space="preserve"> percentiles of concentration estimates from 10,000 iterations (see Materials and methods for underlying assumptions). Green lines show median and 2.5</w:t>
      </w:r>
      <w:r w:rsidR="000C2527" w:rsidRPr="00CA2453">
        <w:rPr>
          <w:vertAlign w:val="superscript"/>
        </w:rPr>
        <w:t>th</w:t>
      </w:r>
      <w:r w:rsidR="000C2527">
        <w:t xml:space="preserve"> and 97.5</w:t>
      </w:r>
      <w:r w:rsidR="000C2527" w:rsidRPr="00CA2453">
        <w:rPr>
          <w:vertAlign w:val="superscript"/>
        </w:rPr>
        <w:t>th</w:t>
      </w:r>
      <w:r w:rsidR="000C2527">
        <w:t xml:space="preserve"> percentiles of the Australian subjects.</w:t>
      </w:r>
    </w:p>
    <w:p w14:paraId="7578A88A" w14:textId="77777777" w:rsidR="006B0FC6" w:rsidRDefault="00763351">
      <w:r w:rsidRPr="00763351">
        <w:rPr>
          <w:noProof/>
        </w:rPr>
        <w:drawing>
          <wp:inline distT="0" distB="0" distL="0" distR="0" wp14:anchorId="184453B8" wp14:editId="104C842D">
            <wp:extent cx="6096000" cy="4572000"/>
            <wp:effectExtent l="0" t="0" r="0" b="0"/>
            <wp:docPr id="8" name="SGPlot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Plot45.png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6A70D" w14:textId="77777777" w:rsidR="006B0FC6" w:rsidRDefault="006B0FC6">
      <w:r>
        <w:br w:type="page"/>
      </w:r>
    </w:p>
    <w:p w14:paraId="1BA36D60" w14:textId="45929791" w:rsidR="008673FF" w:rsidRDefault="006B0FC6">
      <w:r w:rsidRPr="006B0FC6">
        <w:rPr>
          <w:b/>
        </w:rPr>
        <w:lastRenderedPageBreak/>
        <w:t>Figure S2.</w:t>
      </w:r>
      <w:r>
        <w:t xml:space="preserve"> Elimination of BDE99 with </w:t>
      </w:r>
      <w:r w:rsidR="007C3C16">
        <w:t xml:space="preserve">residence </w:t>
      </w:r>
      <w:r>
        <w:t>time (1.5 years) in Australia for the single subject selected for half-life determination.</w:t>
      </w:r>
      <w:r w:rsidR="000C2527">
        <w:t xml:space="preserve"> Red dots show actual measured concentration and blue lines show median concentration and 2.5</w:t>
      </w:r>
      <w:r w:rsidR="000C2527" w:rsidRPr="00CA2453">
        <w:rPr>
          <w:vertAlign w:val="superscript"/>
        </w:rPr>
        <w:t>th</w:t>
      </w:r>
      <w:r w:rsidR="000C2527">
        <w:t xml:space="preserve"> and 97.5</w:t>
      </w:r>
      <w:r w:rsidR="000C2527" w:rsidRPr="00CA2453">
        <w:rPr>
          <w:vertAlign w:val="superscript"/>
        </w:rPr>
        <w:t>th</w:t>
      </w:r>
      <w:r w:rsidR="000C2527">
        <w:t xml:space="preserve"> percentiles of concentration estimates from 10,000 iterations (see Materials and methods for underlying assumptions). Green lines show median and 2.5</w:t>
      </w:r>
      <w:r w:rsidR="000C2527" w:rsidRPr="00CA2453">
        <w:rPr>
          <w:vertAlign w:val="superscript"/>
        </w:rPr>
        <w:t>th</w:t>
      </w:r>
      <w:r w:rsidR="000C2527">
        <w:t xml:space="preserve"> and 97.5</w:t>
      </w:r>
      <w:r w:rsidR="000C2527" w:rsidRPr="00CA2453">
        <w:rPr>
          <w:vertAlign w:val="superscript"/>
        </w:rPr>
        <w:t>th</w:t>
      </w:r>
      <w:r w:rsidR="000C2527">
        <w:t xml:space="preserve"> percentiles of the Australian subjects.</w:t>
      </w:r>
    </w:p>
    <w:p w14:paraId="67A7B292" w14:textId="77777777" w:rsidR="006B0FC6" w:rsidRDefault="00763351">
      <w:r w:rsidRPr="00763351">
        <w:rPr>
          <w:noProof/>
        </w:rPr>
        <w:drawing>
          <wp:inline distT="0" distB="0" distL="0" distR="0" wp14:anchorId="62776D04" wp14:editId="1A9E14E9">
            <wp:extent cx="6096000" cy="4572000"/>
            <wp:effectExtent l="0" t="0" r="0" b="0"/>
            <wp:docPr id="10" name="SGPlot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Plot49.png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A7BCF" w14:textId="77777777" w:rsidR="006B0FC6" w:rsidRDefault="006B0FC6">
      <w:r>
        <w:br w:type="page"/>
      </w:r>
    </w:p>
    <w:p w14:paraId="20EC75D7" w14:textId="23CD7A15" w:rsidR="006B0FC6" w:rsidRDefault="006B0FC6" w:rsidP="006B0FC6">
      <w:r w:rsidRPr="006B0FC6">
        <w:rPr>
          <w:b/>
        </w:rPr>
        <w:lastRenderedPageBreak/>
        <w:t>Figure S3.</w:t>
      </w:r>
      <w:r>
        <w:t xml:space="preserve"> Elimination of BDE100 with </w:t>
      </w:r>
      <w:r w:rsidR="007C3C16">
        <w:t xml:space="preserve">residence </w:t>
      </w:r>
      <w:r>
        <w:t>time (1.5 years) in Australia for the single subject selected for half-life determination.</w:t>
      </w:r>
      <w:r w:rsidR="000C2527">
        <w:t xml:space="preserve"> Red dots show actual measured concentration and blue lines show median concentration and 2.5</w:t>
      </w:r>
      <w:r w:rsidR="000C2527" w:rsidRPr="00CA2453">
        <w:rPr>
          <w:vertAlign w:val="superscript"/>
        </w:rPr>
        <w:t>th</w:t>
      </w:r>
      <w:r w:rsidR="000C2527">
        <w:t xml:space="preserve"> and 97.5</w:t>
      </w:r>
      <w:r w:rsidR="000C2527" w:rsidRPr="00CA2453">
        <w:rPr>
          <w:vertAlign w:val="superscript"/>
        </w:rPr>
        <w:t>th</w:t>
      </w:r>
      <w:r w:rsidR="000C2527">
        <w:t xml:space="preserve"> percentiles of concentration estimates from 10,000 iterations (see Materials and methods for underlying assumptions). Green lines show median and 2.5</w:t>
      </w:r>
      <w:r w:rsidR="000C2527" w:rsidRPr="00CA2453">
        <w:rPr>
          <w:vertAlign w:val="superscript"/>
        </w:rPr>
        <w:t>th</w:t>
      </w:r>
      <w:r w:rsidR="000C2527">
        <w:t xml:space="preserve"> and 97.5</w:t>
      </w:r>
      <w:r w:rsidR="000C2527" w:rsidRPr="00CA2453">
        <w:rPr>
          <w:vertAlign w:val="superscript"/>
        </w:rPr>
        <w:t>th</w:t>
      </w:r>
      <w:r w:rsidR="000C2527">
        <w:t xml:space="preserve"> percentiles of the Australian subjects.</w:t>
      </w:r>
    </w:p>
    <w:p w14:paraId="2A717114" w14:textId="77777777" w:rsidR="006B0FC6" w:rsidRDefault="00763351">
      <w:r w:rsidRPr="00763351">
        <w:rPr>
          <w:noProof/>
        </w:rPr>
        <w:drawing>
          <wp:inline distT="0" distB="0" distL="0" distR="0" wp14:anchorId="3D94FC0C" wp14:editId="17962431">
            <wp:extent cx="6096000" cy="4572000"/>
            <wp:effectExtent l="0" t="0" r="0" b="0"/>
            <wp:docPr id="12" name="SGPlot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Plot51.png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BDA0A" w14:textId="77777777" w:rsidR="006B0FC6" w:rsidRDefault="006B0FC6">
      <w:r>
        <w:br w:type="page"/>
      </w:r>
    </w:p>
    <w:p w14:paraId="2AB8A04E" w14:textId="1CD13A64" w:rsidR="006B0FC6" w:rsidRDefault="006B0FC6">
      <w:r w:rsidRPr="006B0FC6">
        <w:rPr>
          <w:b/>
        </w:rPr>
        <w:lastRenderedPageBreak/>
        <w:t>Figure S4.</w:t>
      </w:r>
      <w:r>
        <w:t xml:space="preserve"> Elimination of BDE153 with </w:t>
      </w:r>
      <w:r w:rsidR="007C3C16">
        <w:t xml:space="preserve">residence </w:t>
      </w:r>
      <w:r>
        <w:t>time (1.5 years) in Australia for the single subject selected for half-life determination.</w:t>
      </w:r>
      <w:r w:rsidR="000C2527">
        <w:t xml:space="preserve"> Red dots show actual measured concentration and blue lines show median concentration and 2.5</w:t>
      </w:r>
      <w:r w:rsidR="000C2527" w:rsidRPr="00CA2453">
        <w:rPr>
          <w:vertAlign w:val="superscript"/>
        </w:rPr>
        <w:t>th</w:t>
      </w:r>
      <w:r w:rsidR="000C2527">
        <w:t xml:space="preserve"> and 97.5</w:t>
      </w:r>
      <w:r w:rsidR="000C2527" w:rsidRPr="00CA2453">
        <w:rPr>
          <w:vertAlign w:val="superscript"/>
        </w:rPr>
        <w:t>th</w:t>
      </w:r>
      <w:r w:rsidR="000C2527">
        <w:t xml:space="preserve"> percentiles of concentration estimates from 10,000 iterations (see Materials and methods for underlying assumptions). Green lines show median and 2.5</w:t>
      </w:r>
      <w:r w:rsidR="000C2527" w:rsidRPr="00CA2453">
        <w:rPr>
          <w:vertAlign w:val="superscript"/>
        </w:rPr>
        <w:t>th</w:t>
      </w:r>
      <w:r w:rsidR="000C2527">
        <w:t xml:space="preserve"> and 97.5</w:t>
      </w:r>
      <w:r w:rsidR="000C2527" w:rsidRPr="00CA2453">
        <w:rPr>
          <w:vertAlign w:val="superscript"/>
        </w:rPr>
        <w:t>th</w:t>
      </w:r>
      <w:r w:rsidR="000C2527">
        <w:t xml:space="preserve"> percentiles of the Australian subjects.  </w:t>
      </w:r>
    </w:p>
    <w:p w14:paraId="07EA8EAE" w14:textId="77777777" w:rsidR="006B0FC6" w:rsidRDefault="00763351">
      <w:r w:rsidRPr="00763351">
        <w:rPr>
          <w:noProof/>
        </w:rPr>
        <w:drawing>
          <wp:inline distT="0" distB="0" distL="0" distR="0" wp14:anchorId="75F71861" wp14:editId="236F445D">
            <wp:extent cx="6096000" cy="4572000"/>
            <wp:effectExtent l="0" t="0" r="0" b="0"/>
            <wp:docPr id="14" name="SGPlot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Plot53.png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0617B" w14:textId="77777777" w:rsidR="00B56FA9" w:rsidRDefault="00B56FA9">
      <w:r>
        <w:br w:type="page"/>
      </w:r>
    </w:p>
    <w:p w14:paraId="0E589556" w14:textId="21B9E21A" w:rsidR="00B56FA9" w:rsidRPr="00B56FA9" w:rsidRDefault="00B56FA9">
      <w:pPr>
        <w:rPr>
          <w:b/>
        </w:rPr>
      </w:pPr>
      <w:r w:rsidRPr="00B56FA9">
        <w:rPr>
          <w:b/>
        </w:rPr>
        <w:lastRenderedPageBreak/>
        <w:t>Figure S5.</w:t>
      </w:r>
      <w:r w:rsidRPr="00B56FA9">
        <w:t xml:space="preserve"> </w:t>
      </w:r>
      <w:r w:rsidR="005809B4">
        <w:t>R</w:t>
      </w:r>
      <w:r w:rsidR="005809B4" w:rsidRPr="005809B4">
        <w:t>egression of predicted vs</w:t>
      </w:r>
      <w:r w:rsidR="005809B4">
        <w:t>.</w:t>
      </w:r>
      <w:r w:rsidR="005809B4" w:rsidRPr="005809B4">
        <w:t xml:space="preserve"> measured </w:t>
      </w:r>
      <w:r w:rsidRPr="00B56FA9">
        <w:t xml:space="preserve">serum concentration for </w:t>
      </w:r>
      <w:r w:rsidR="00737085">
        <w:t xml:space="preserve">BDE28 in </w:t>
      </w:r>
      <w:r w:rsidRPr="00B56FA9">
        <w:t>samples collected 100 days after entering Australia, excluding subject used for deriving half-life estimate.</w:t>
      </w:r>
      <w:r w:rsidR="00187D53">
        <w:t xml:space="preserve"> Data below the limit of detection has been excluded.</w:t>
      </w:r>
      <w:r w:rsidRPr="00B56FA9">
        <w:rPr>
          <w:b/>
        </w:rPr>
        <w:t xml:space="preserve"> </w:t>
      </w:r>
    </w:p>
    <w:p w14:paraId="7765BC10" w14:textId="77777777" w:rsidR="00B56FA9" w:rsidRDefault="00763351">
      <w:r w:rsidRPr="00763351">
        <w:rPr>
          <w:noProof/>
        </w:rPr>
        <w:drawing>
          <wp:inline distT="0" distB="0" distL="0" distR="0" wp14:anchorId="7E9E78D3" wp14:editId="208E3D13">
            <wp:extent cx="6096000" cy="4572000"/>
            <wp:effectExtent l="0" t="0" r="0" b="0"/>
            <wp:docPr id="15" name="SGPlot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Plot41.png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C9805" w14:textId="77777777" w:rsidR="00B56FA9" w:rsidRDefault="00B56FA9">
      <w:r>
        <w:br w:type="page"/>
      </w:r>
    </w:p>
    <w:p w14:paraId="5390A200" w14:textId="7323B5C4" w:rsidR="00737085" w:rsidRPr="00187D53" w:rsidRDefault="00B56FA9" w:rsidP="00187D53">
      <w:pPr>
        <w:rPr>
          <w:b/>
        </w:rPr>
      </w:pPr>
      <w:r w:rsidRPr="00737085">
        <w:rPr>
          <w:b/>
        </w:rPr>
        <w:lastRenderedPageBreak/>
        <w:t>Figure S6.</w:t>
      </w:r>
      <w:r w:rsidR="00737085">
        <w:t xml:space="preserve"> </w:t>
      </w:r>
      <w:r w:rsidR="005809B4">
        <w:t>R</w:t>
      </w:r>
      <w:r w:rsidR="005809B4" w:rsidRPr="005809B4">
        <w:t>egression of predicted vs</w:t>
      </w:r>
      <w:r w:rsidR="005809B4">
        <w:t>.</w:t>
      </w:r>
      <w:r w:rsidR="005809B4" w:rsidRPr="005809B4">
        <w:t xml:space="preserve"> measured </w:t>
      </w:r>
      <w:r w:rsidR="00737085" w:rsidRPr="00B56FA9">
        <w:t xml:space="preserve">serum concentration for </w:t>
      </w:r>
      <w:r w:rsidR="00737085">
        <w:t xml:space="preserve">BDE47 in </w:t>
      </w:r>
      <w:r w:rsidR="00737085" w:rsidRPr="00B56FA9">
        <w:t>samples collected 100 days after entering Australia, excluding subject used for derivi</w:t>
      </w:r>
      <w:r w:rsidR="00737085" w:rsidRPr="00187D53">
        <w:t xml:space="preserve">ng half-life estimate. </w:t>
      </w:r>
      <w:r w:rsidR="00187D53" w:rsidRPr="00187D53">
        <w:t>Data below the limit of detection has been excluded.</w:t>
      </w:r>
    </w:p>
    <w:p w14:paraId="6EA3BDF4" w14:textId="77777777" w:rsidR="00737085" w:rsidRDefault="00037E5F">
      <w:r w:rsidRPr="00037E5F">
        <w:rPr>
          <w:noProof/>
        </w:rPr>
        <w:drawing>
          <wp:inline distT="0" distB="0" distL="0" distR="0" wp14:anchorId="0BC9D6A6" wp14:editId="593C627D">
            <wp:extent cx="6096000" cy="4572000"/>
            <wp:effectExtent l="0" t="0" r="0" b="0"/>
            <wp:docPr id="16" name="SGPlot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Plot43.png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B1F52" w14:textId="77777777" w:rsidR="00737085" w:rsidRDefault="00737085">
      <w:r>
        <w:br w:type="page"/>
      </w:r>
    </w:p>
    <w:p w14:paraId="17AD5300" w14:textId="3C01147E" w:rsidR="00737085" w:rsidRPr="00187D53" w:rsidRDefault="00737085" w:rsidP="00187D53">
      <w:r w:rsidRPr="00737085">
        <w:rPr>
          <w:b/>
        </w:rPr>
        <w:lastRenderedPageBreak/>
        <w:t>Figure S7.</w:t>
      </w:r>
      <w:r>
        <w:t xml:space="preserve"> </w:t>
      </w:r>
      <w:r w:rsidR="005809B4">
        <w:t>R</w:t>
      </w:r>
      <w:r w:rsidR="005809B4" w:rsidRPr="005809B4">
        <w:t>egression of predicted vs</w:t>
      </w:r>
      <w:r w:rsidR="005809B4">
        <w:t>.</w:t>
      </w:r>
      <w:r w:rsidR="005809B4" w:rsidRPr="005809B4">
        <w:t xml:space="preserve"> measured </w:t>
      </w:r>
      <w:r w:rsidRPr="00B56FA9">
        <w:t xml:space="preserve">serum concentration for </w:t>
      </w:r>
      <w:r>
        <w:t xml:space="preserve">BDE99 in </w:t>
      </w:r>
      <w:r w:rsidRPr="00B56FA9">
        <w:t>samples collected 100 days after entering Australia, excluding subject used for deriving half-life estimate.</w:t>
      </w:r>
      <w:r w:rsidR="00187D53">
        <w:t xml:space="preserve"> </w:t>
      </w:r>
      <w:r w:rsidR="00187D53" w:rsidRPr="00187D53">
        <w:t>Data below the limit of detection has been excluded.</w:t>
      </w:r>
    </w:p>
    <w:p w14:paraId="6F55E20A" w14:textId="77777777" w:rsidR="00737085" w:rsidRDefault="00037E5F">
      <w:r w:rsidRPr="00037E5F">
        <w:rPr>
          <w:noProof/>
        </w:rPr>
        <w:drawing>
          <wp:inline distT="0" distB="0" distL="0" distR="0" wp14:anchorId="7C9B3A7C" wp14:editId="6A1FA885">
            <wp:extent cx="6096000" cy="4572000"/>
            <wp:effectExtent l="0" t="0" r="0" b="0"/>
            <wp:docPr id="27" name="SGPlot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Plot45.png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D9EEE" w14:textId="77777777" w:rsidR="00737085" w:rsidRDefault="00737085">
      <w:r>
        <w:br w:type="page"/>
      </w:r>
    </w:p>
    <w:p w14:paraId="0756EFB3" w14:textId="107BFC05" w:rsidR="00737085" w:rsidRPr="00187D53" w:rsidRDefault="00737085" w:rsidP="00187D53">
      <w:r w:rsidRPr="00737085">
        <w:rPr>
          <w:b/>
        </w:rPr>
        <w:lastRenderedPageBreak/>
        <w:t>Figure S8.</w:t>
      </w:r>
      <w:r>
        <w:t xml:space="preserve"> </w:t>
      </w:r>
      <w:r w:rsidR="005809B4">
        <w:t>R</w:t>
      </w:r>
      <w:r w:rsidR="005809B4" w:rsidRPr="005809B4">
        <w:t>egression of predicted vs</w:t>
      </w:r>
      <w:r w:rsidR="005809B4">
        <w:t>.</w:t>
      </w:r>
      <w:r w:rsidR="005809B4" w:rsidRPr="005809B4">
        <w:t xml:space="preserve"> measured </w:t>
      </w:r>
      <w:r w:rsidRPr="00B56FA9">
        <w:t xml:space="preserve">serum concentration for </w:t>
      </w:r>
      <w:r>
        <w:t xml:space="preserve">BDE100 in </w:t>
      </w:r>
      <w:r w:rsidRPr="00B56FA9">
        <w:t>samples collected 100 days after entering Australia, excluding subject used for deriving half-life estimate.</w:t>
      </w:r>
      <w:r w:rsidR="00187D53">
        <w:t xml:space="preserve"> </w:t>
      </w:r>
      <w:r w:rsidR="00187D53" w:rsidRPr="00187D53">
        <w:t xml:space="preserve"> Data below the limit of detection has been excluded.</w:t>
      </w:r>
    </w:p>
    <w:p w14:paraId="2D365456" w14:textId="77777777" w:rsidR="006B0FC6" w:rsidRDefault="00037E5F">
      <w:r w:rsidRPr="00037E5F">
        <w:rPr>
          <w:noProof/>
        </w:rPr>
        <w:drawing>
          <wp:inline distT="0" distB="0" distL="0" distR="0" wp14:anchorId="5B90F1B9" wp14:editId="62962643">
            <wp:extent cx="6096000" cy="4572000"/>
            <wp:effectExtent l="0" t="0" r="0" b="0"/>
            <wp:docPr id="28" name="SGPlot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Plot47.png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E2476" w14:textId="77777777" w:rsidR="00737085" w:rsidRDefault="00737085"/>
    <w:p w14:paraId="08D985B5" w14:textId="77777777" w:rsidR="00737085" w:rsidRDefault="00737085">
      <w:pPr>
        <w:rPr>
          <w:b/>
        </w:rPr>
      </w:pPr>
      <w:r>
        <w:rPr>
          <w:b/>
        </w:rPr>
        <w:br w:type="page"/>
      </w:r>
    </w:p>
    <w:p w14:paraId="1BEB2522" w14:textId="6CD64D64" w:rsidR="00737085" w:rsidRPr="00187D53" w:rsidRDefault="00737085" w:rsidP="00187D53">
      <w:r w:rsidRPr="00737085">
        <w:rPr>
          <w:b/>
        </w:rPr>
        <w:lastRenderedPageBreak/>
        <w:t>Figure S9.</w:t>
      </w:r>
      <w:r>
        <w:t xml:space="preserve"> </w:t>
      </w:r>
      <w:r w:rsidR="005809B4">
        <w:t>R</w:t>
      </w:r>
      <w:r w:rsidR="005809B4" w:rsidRPr="005809B4">
        <w:t>egression of predicted vs</w:t>
      </w:r>
      <w:r w:rsidR="005809B4">
        <w:t>.</w:t>
      </w:r>
      <w:r w:rsidR="005809B4" w:rsidRPr="005809B4">
        <w:t xml:space="preserve"> measured </w:t>
      </w:r>
      <w:r w:rsidRPr="00B56FA9">
        <w:t xml:space="preserve">serum concentration for </w:t>
      </w:r>
      <w:r>
        <w:t xml:space="preserve">BDE153 in </w:t>
      </w:r>
      <w:r w:rsidRPr="00B56FA9">
        <w:t>samples collected 100 days after entering Australia, excluding subject used for deriving half-life estimate.</w:t>
      </w:r>
      <w:r w:rsidR="00187D53">
        <w:t xml:space="preserve"> </w:t>
      </w:r>
      <w:r w:rsidR="00187D53" w:rsidRPr="00187D53">
        <w:t>Data below the limit of detection has been excluded.</w:t>
      </w:r>
    </w:p>
    <w:p w14:paraId="26FC3B8E" w14:textId="77777777" w:rsidR="00737085" w:rsidRDefault="00037E5F">
      <w:r w:rsidRPr="00037E5F">
        <w:rPr>
          <w:noProof/>
        </w:rPr>
        <w:drawing>
          <wp:inline distT="0" distB="0" distL="0" distR="0" wp14:anchorId="3546D34C" wp14:editId="7924E738">
            <wp:extent cx="6096000" cy="4572000"/>
            <wp:effectExtent l="0" t="0" r="0" b="0"/>
            <wp:docPr id="29" name="SGPlot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Plot49.png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584E3" w14:textId="77777777" w:rsidR="00737085" w:rsidRDefault="00737085">
      <w:pPr>
        <w:rPr>
          <w:b/>
        </w:rPr>
      </w:pPr>
      <w:r>
        <w:rPr>
          <w:b/>
        </w:rPr>
        <w:br w:type="page"/>
      </w:r>
    </w:p>
    <w:p w14:paraId="45950B9E" w14:textId="79EBD05B" w:rsidR="00D0445F" w:rsidRDefault="0072368C">
      <w:r w:rsidRPr="00EB0557">
        <w:rPr>
          <w:b/>
        </w:rPr>
        <w:lastRenderedPageBreak/>
        <w:t>Table S1.</w:t>
      </w:r>
      <w:r>
        <w:t xml:space="preserve"> CV of quality control samples, </w:t>
      </w:r>
      <w:r w:rsidRPr="00EB0557">
        <w:rPr>
          <w:vertAlign w:val="superscript"/>
        </w:rPr>
        <w:t>13</w:t>
      </w:r>
      <w:r>
        <w:t>C-internal standard recovery and limit of detection for measured PBDE congeners.</w:t>
      </w:r>
    </w:p>
    <w:p w14:paraId="50B5E089" w14:textId="77777777" w:rsidR="00DE7F71" w:rsidRDefault="0072368C">
      <w:r w:rsidRPr="0072368C">
        <w:rPr>
          <w:noProof/>
        </w:rPr>
        <w:drawing>
          <wp:inline distT="0" distB="0" distL="0" distR="0" wp14:anchorId="7A603A1B" wp14:editId="58A4924E">
            <wp:extent cx="6181725" cy="1838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AA131" w14:textId="77777777" w:rsidR="00DE7F71" w:rsidRDefault="00DE7F71">
      <w:r>
        <w:br w:type="page"/>
      </w:r>
    </w:p>
    <w:p w14:paraId="00C6A524" w14:textId="6C425CBE" w:rsidR="00F73C66" w:rsidRDefault="00DE7F71">
      <w:r w:rsidRPr="00DE7F71">
        <w:rPr>
          <w:noProof/>
        </w:rPr>
        <w:lastRenderedPageBreak/>
        <w:drawing>
          <wp:inline distT="0" distB="0" distL="0" distR="0" wp14:anchorId="3926B94D" wp14:editId="5361DC04">
            <wp:extent cx="5695950" cy="210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BB3">
        <w:br w:type="page"/>
      </w:r>
    </w:p>
    <w:p w14:paraId="37076865" w14:textId="1EABC139" w:rsidR="00A040C9" w:rsidRDefault="00A040C9">
      <w:r w:rsidRPr="00EB0557">
        <w:rPr>
          <w:b/>
        </w:rPr>
        <w:lastRenderedPageBreak/>
        <w:t>Table S</w:t>
      </w:r>
      <w:r w:rsidR="00DE7F71">
        <w:rPr>
          <w:b/>
        </w:rPr>
        <w:t>3</w:t>
      </w:r>
      <w:r w:rsidRPr="00EB0557">
        <w:rPr>
          <w:b/>
        </w:rPr>
        <w:t>.</w:t>
      </w:r>
      <w:r w:rsidR="00C74BB3">
        <w:t xml:space="preserve"> Intra class correlation coefficient (ICC) and change in PBDE concentration by year for Australian residents calculated from a simple linear random effect mixed model where subject is a random effect and time by year is a fixed effect independent variable.</w:t>
      </w:r>
    </w:p>
    <w:p w14:paraId="37F99FA0" w14:textId="0ACCAA27" w:rsidR="006B0FC6" w:rsidRDefault="00A040C9">
      <w:r w:rsidRPr="006877E4">
        <w:rPr>
          <w:noProof/>
        </w:rPr>
        <w:drawing>
          <wp:inline distT="0" distB="0" distL="0" distR="0" wp14:anchorId="126D8FDE" wp14:editId="1034EC7A">
            <wp:extent cx="3140710" cy="17926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37"/>
                    <a:stretch/>
                  </pic:blipFill>
                  <pic:spPr bwMode="auto">
                    <a:xfrm>
                      <a:off x="0" y="0"/>
                      <a:ext cx="314071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0FC6">
        <w:br w:type="page"/>
      </w:r>
    </w:p>
    <w:p w14:paraId="7E6D825B" w14:textId="77777777" w:rsidR="006B0FC6" w:rsidRDefault="006B0FC6"/>
    <w:p w14:paraId="4A2ED6F7" w14:textId="77777777" w:rsidR="008673FF" w:rsidRDefault="008673FF"/>
    <w:p w14:paraId="01F9AFF4" w14:textId="77777777" w:rsidR="00BC7310" w:rsidRDefault="00124DBF">
      <w:pPr>
        <w:rPr>
          <w:b/>
          <w:sz w:val="28"/>
          <w:szCs w:val="28"/>
        </w:rPr>
      </w:pPr>
      <w:r w:rsidRPr="00124DBF">
        <w:rPr>
          <w:b/>
          <w:sz w:val="28"/>
          <w:szCs w:val="28"/>
        </w:rPr>
        <w:t>References</w:t>
      </w:r>
    </w:p>
    <w:p w14:paraId="0189C15E" w14:textId="1E86D01C" w:rsidR="00271B28" w:rsidRPr="00271B28" w:rsidRDefault="00BC7310" w:rsidP="00271B28">
      <w:pPr>
        <w:pStyle w:val="EndNoteBibliography"/>
        <w:spacing w:after="0"/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ADDIN EN.REFLIST </w:instrText>
      </w:r>
      <w:r>
        <w:rPr>
          <w:b/>
          <w:sz w:val="28"/>
          <w:szCs w:val="28"/>
        </w:rPr>
        <w:fldChar w:fldCharType="separate"/>
      </w:r>
      <w:r w:rsidR="00271B28" w:rsidRPr="00271B28">
        <w:t>1.</w:t>
      </w:r>
      <w:r w:rsidR="00271B28" w:rsidRPr="00271B28">
        <w:tab/>
        <w:t xml:space="preserve">U.S. Environmental Protection Agency: Washington, D., Jun 22, 2017 Polybrominated Diphenyl Ethers (PBDEs) , Assessing and Managing Chemicals under TSCA. </w:t>
      </w:r>
      <w:hyperlink r:id="rId18" w:history="1">
        <w:r w:rsidR="00271B28" w:rsidRPr="00271B28">
          <w:rPr>
            <w:rStyle w:val="Hyperlink"/>
          </w:rPr>
          <w:t>https://www.epa.gov/assessing-and-managing-chemicals-under-tsca/polybrominated-diphenyl-ethers-pbdes</w:t>
        </w:r>
      </w:hyperlink>
      <w:r w:rsidR="00271B28" w:rsidRPr="00271B28">
        <w:t xml:space="preserve"> (Accessed: October 18, 2018), </w:t>
      </w:r>
    </w:p>
    <w:p w14:paraId="5DB18BFC" w14:textId="62F3DDA5" w:rsidR="00271B28" w:rsidRPr="00271B28" w:rsidRDefault="00271B28" w:rsidP="00271B28">
      <w:pPr>
        <w:pStyle w:val="EndNoteBibliography"/>
        <w:spacing w:after="0"/>
      </w:pPr>
      <w:r w:rsidRPr="00271B28">
        <w:t>2.</w:t>
      </w:r>
      <w:r w:rsidRPr="00271B28">
        <w:tab/>
        <w:t>Viberg, H.; Fredriksson, A.</w:t>
      </w:r>
      <w:r w:rsidR="008424D6">
        <w:t xml:space="preserve"> </w:t>
      </w:r>
      <w:r w:rsidR="008424D6" w:rsidRPr="00EB0557">
        <w:rPr>
          <w:i/>
        </w:rPr>
        <w:t>et al.</w:t>
      </w:r>
      <w:r w:rsidRPr="00271B28">
        <w:t xml:space="preserve"> Neurobehavioral derangements in adult mice receiving decabrominated diphenyl ether (PBDE 209) during a defined period of neonatal brain development. </w:t>
      </w:r>
      <w:r w:rsidRPr="00271B28">
        <w:rPr>
          <w:i/>
        </w:rPr>
        <w:t xml:space="preserve">Toxicol Sci </w:t>
      </w:r>
      <w:r w:rsidRPr="00271B28">
        <w:rPr>
          <w:b/>
        </w:rPr>
        <w:t>2003,</w:t>
      </w:r>
      <w:r w:rsidRPr="00271B28">
        <w:t xml:space="preserve"> </w:t>
      </w:r>
      <w:r w:rsidRPr="00271B28">
        <w:rPr>
          <w:i/>
        </w:rPr>
        <w:t>76</w:t>
      </w:r>
      <w:r w:rsidRPr="00271B28">
        <w:t>, 112.</w:t>
      </w:r>
    </w:p>
    <w:p w14:paraId="3555393D" w14:textId="408ADC1B" w:rsidR="00271B28" w:rsidRPr="00271B28" w:rsidRDefault="00271B28" w:rsidP="00271B28">
      <w:pPr>
        <w:pStyle w:val="EndNoteBibliography"/>
        <w:spacing w:after="0"/>
      </w:pPr>
      <w:r w:rsidRPr="00271B28">
        <w:t>3.</w:t>
      </w:r>
      <w:r w:rsidRPr="00271B28">
        <w:tab/>
        <w:t>Viberg, H.; Fredriksson, A.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Neonatal exposure to polybrominated diphenyl ether (PBDE 153) disrupts spontaneous behaviour, impairs learning and memory, and decreases hippocampal cholinergic receptors in adult mice. </w:t>
      </w:r>
      <w:r w:rsidRPr="00271B28">
        <w:rPr>
          <w:i/>
        </w:rPr>
        <w:t xml:space="preserve">Toxicol Appl Pharmacol </w:t>
      </w:r>
      <w:r w:rsidRPr="00271B28">
        <w:rPr>
          <w:b/>
        </w:rPr>
        <w:t>2003,</w:t>
      </w:r>
      <w:r w:rsidRPr="00271B28">
        <w:t xml:space="preserve"> </w:t>
      </w:r>
      <w:r w:rsidRPr="00271B28">
        <w:rPr>
          <w:i/>
        </w:rPr>
        <w:t>192</w:t>
      </w:r>
      <w:r w:rsidRPr="00271B28">
        <w:t>, 95-106.</w:t>
      </w:r>
    </w:p>
    <w:p w14:paraId="0A7D9464" w14:textId="2A2AD77E" w:rsidR="00271B28" w:rsidRPr="00271B28" w:rsidRDefault="00271B28" w:rsidP="00271B28">
      <w:pPr>
        <w:pStyle w:val="EndNoteBibliography"/>
        <w:spacing w:after="0"/>
      </w:pPr>
      <w:r w:rsidRPr="00271B28">
        <w:t>4.</w:t>
      </w:r>
      <w:r w:rsidRPr="00271B28">
        <w:tab/>
        <w:t>Viberg, H.; Fredriksson, A.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Neonatal exposure to the brominated flame retardant 2,2',4,4',5-pentabromodiphenyl ether causes altered susceptibility in the cholinergic transmitter system in the adult mouse. </w:t>
      </w:r>
      <w:r w:rsidRPr="00271B28">
        <w:rPr>
          <w:i/>
        </w:rPr>
        <w:t>Toxicol Sci 67</w:t>
      </w:r>
      <w:r w:rsidRPr="00271B28">
        <w:t>, 104.</w:t>
      </w:r>
    </w:p>
    <w:p w14:paraId="71C91835" w14:textId="4899D4E4" w:rsidR="00271B28" w:rsidRPr="00271B28" w:rsidRDefault="00271B28" w:rsidP="00271B28">
      <w:pPr>
        <w:pStyle w:val="EndNoteBibliography"/>
        <w:spacing w:after="0"/>
      </w:pPr>
      <w:r w:rsidRPr="00271B28">
        <w:t>5.</w:t>
      </w:r>
      <w:r w:rsidRPr="00271B28">
        <w:tab/>
        <w:t>Eriksson, P.; Jakobsson, E.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Brominated flame retardants: a novel class of developmental neurotoxicants in our environment? </w:t>
      </w:r>
      <w:r w:rsidRPr="00271B28">
        <w:rPr>
          <w:i/>
        </w:rPr>
        <w:t xml:space="preserve">Environ Health Perspect </w:t>
      </w:r>
      <w:r w:rsidRPr="00271B28">
        <w:rPr>
          <w:b/>
        </w:rPr>
        <w:t>2001,</w:t>
      </w:r>
      <w:r w:rsidRPr="00271B28">
        <w:t xml:space="preserve"> </w:t>
      </w:r>
      <w:r w:rsidRPr="00271B28">
        <w:rPr>
          <w:i/>
        </w:rPr>
        <w:t>109</w:t>
      </w:r>
      <w:r w:rsidRPr="00271B28">
        <w:t>, 903-908.</w:t>
      </w:r>
    </w:p>
    <w:p w14:paraId="616B330B" w14:textId="5088F9AE" w:rsidR="00271B28" w:rsidRPr="00271B28" w:rsidRDefault="00271B28" w:rsidP="00271B28">
      <w:pPr>
        <w:pStyle w:val="EndNoteBibliography"/>
        <w:spacing w:after="0"/>
      </w:pPr>
      <w:r w:rsidRPr="00271B28">
        <w:t>6.</w:t>
      </w:r>
      <w:r w:rsidRPr="00271B28">
        <w:tab/>
        <w:t xml:space="preserve">McDonald, T. A. A perspective on the potential health risks of PBDEs. </w:t>
      </w:r>
      <w:r w:rsidRPr="00271B28">
        <w:rPr>
          <w:i/>
        </w:rPr>
        <w:t xml:space="preserve">Chemosphere </w:t>
      </w:r>
      <w:r w:rsidRPr="00271B28">
        <w:rPr>
          <w:b/>
        </w:rPr>
        <w:t>2002,</w:t>
      </w:r>
      <w:r w:rsidRPr="00271B28">
        <w:t xml:space="preserve"> </w:t>
      </w:r>
      <w:r w:rsidRPr="00271B28">
        <w:rPr>
          <w:i/>
        </w:rPr>
        <w:t>46</w:t>
      </w:r>
      <w:r w:rsidRPr="00271B28">
        <w:t>, 745-755.</w:t>
      </w:r>
    </w:p>
    <w:p w14:paraId="00C28E12" w14:textId="31DF73A9" w:rsidR="00271B28" w:rsidRPr="00271B28" w:rsidRDefault="00271B28" w:rsidP="00271B28">
      <w:pPr>
        <w:pStyle w:val="EndNoteBibliography"/>
        <w:spacing w:after="0"/>
      </w:pPr>
      <w:r w:rsidRPr="00271B28">
        <w:t>7.</w:t>
      </w:r>
      <w:r w:rsidRPr="00271B28">
        <w:tab/>
        <w:t>Harley, K. G.; Chevrier, J.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Association of prenatal exposure to polybrominated diphenyl ethers and infant birth weight. </w:t>
      </w:r>
      <w:r w:rsidRPr="00271B28">
        <w:rPr>
          <w:i/>
        </w:rPr>
        <w:t xml:space="preserve">Am J Epidemiol </w:t>
      </w:r>
      <w:r w:rsidRPr="00271B28">
        <w:rPr>
          <w:b/>
        </w:rPr>
        <w:t>2011,</w:t>
      </w:r>
      <w:r w:rsidRPr="00271B28">
        <w:t xml:space="preserve"> </w:t>
      </w:r>
      <w:r w:rsidRPr="00271B28">
        <w:rPr>
          <w:i/>
        </w:rPr>
        <w:t>174</w:t>
      </w:r>
      <w:r w:rsidRPr="00271B28">
        <w:t>, 885-92.</w:t>
      </w:r>
    </w:p>
    <w:p w14:paraId="25AB3034" w14:textId="6464E000" w:rsidR="00271B28" w:rsidRPr="00271B28" w:rsidRDefault="00271B28" w:rsidP="00271B28">
      <w:pPr>
        <w:pStyle w:val="EndNoteBibliography"/>
        <w:spacing w:after="0"/>
      </w:pPr>
      <w:r w:rsidRPr="00271B28">
        <w:t>8.</w:t>
      </w:r>
      <w:r w:rsidRPr="00271B28">
        <w:tab/>
        <w:t>Eskenazi, B.; Chevrier, J.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In utero and childhood polybrominated diphenyl ether (PBDE) exposures and neurodevelopment in the CHAMACOS study. </w:t>
      </w:r>
      <w:r w:rsidRPr="00271B28">
        <w:rPr>
          <w:i/>
        </w:rPr>
        <w:t xml:space="preserve">Environ Health Perspect </w:t>
      </w:r>
      <w:r w:rsidRPr="00271B28">
        <w:rPr>
          <w:b/>
        </w:rPr>
        <w:t>2013,</w:t>
      </w:r>
      <w:r w:rsidRPr="00271B28">
        <w:t xml:space="preserve"> </w:t>
      </w:r>
      <w:r w:rsidRPr="00271B28">
        <w:rPr>
          <w:i/>
        </w:rPr>
        <w:t>121</w:t>
      </w:r>
      <w:r w:rsidRPr="00271B28">
        <w:t>, 257-62.</w:t>
      </w:r>
    </w:p>
    <w:p w14:paraId="00FCB306" w14:textId="0CF25664" w:rsidR="00271B28" w:rsidRPr="00271B28" w:rsidRDefault="00271B28" w:rsidP="00271B28">
      <w:pPr>
        <w:pStyle w:val="EndNoteBibliography"/>
        <w:spacing w:after="0"/>
      </w:pPr>
      <w:r w:rsidRPr="00271B28">
        <w:t>9.</w:t>
      </w:r>
      <w:r w:rsidRPr="00271B28">
        <w:tab/>
        <w:t>Adgent, M. A.; Hoffman, K.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Brominated flame retardants in breast milk and behavioural and cognitive development at 36 months. </w:t>
      </w:r>
      <w:r w:rsidRPr="00271B28">
        <w:rPr>
          <w:i/>
        </w:rPr>
        <w:t xml:space="preserve">Paediatr Perinat Epidemiol </w:t>
      </w:r>
      <w:r w:rsidRPr="00271B28">
        <w:rPr>
          <w:b/>
        </w:rPr>
        <w:t>2014,</w:t>
      </w:r>
      <w:r w:rsidRPr="00271B28">
        <w:t xml:space="preserve"> </w:t>
      </w:r>
      <w:r w:rsidRPr="00271B28">
        <w:rPr>
          <w:i/>
        </w:rPr>
        <w:t>28</w:t>
      </w:r>
      <w:r w:rsidRPr="00271B28">
        <w:t>, 48-57.</w:t>
      </w:r>
    </w:p>
    <w:p w14:paraId="32EF48EC" w14:textId="4DEC4A06" w:rsidR="00271B28" w:rsidRPr="00271B28" w:rsidRDefault="00271B28" w:rsidP="00271B28">
      <w:pPr>
        <w:pStyle w:val="EndNoteBibliography"/>
        <w:spacing w:after="0"/>
      </w:pPr>
      <w:r w:rsidRPr="00271B28">
        <w:t>10.</w:t>
      </w:r>
      <w:r w:rsidRPr="00271B28">
        <w:tab/>
        <w:t>Braun, J. M.; Kalkbrenner, A. E.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Gestational exposure to endocrine-disrupting chemicals and reciprocal social, repetitive, and stereotypic behaviors in 4- and 5-year-old children: the HOME study. </w:t>
      </w:r>
      <w:r w:rsidRPr="00271B28">
        <w:rPr>
          <w:i/>
        </w:rPr>
        <w:t xml:space="preserve">Environ Health Perspect </w:t>
      </w:r>
      <w:r w:rsidRPr="00271B28">
        <w:rPr>
          <w:b/>
        </w:rPr>
        <w:t>2014,</w:t>
      </w:r>
      <w:r w:rsidRPr="00271B28">
        <w:t xml:space="preserve"> </w:t>
      </w:r>
      <w:r w:rsidRPr="00271B28">
        <w:rPr>
          <w:i/>
        </w:rPr>
        <w:t>122</w:t>
      </w:r>
      <w:r w:rsidRPr="00271B28">
        <w:t>, 513-20.</w:t>
      </w:r>
    </w:p>
    <w:p w14:paraId="01596889" w14:textId="7CE0B20D" w:rsidR="00271B28" w:rsidRPr="00271B28" w:rsidRDefault="00271B28" w:rsidP="00271B28">
      <w:pPr>
        <w:pStyle w:val="EndNoteBibliography"/>
        <w:spacing w:after="0"/>
      </w:pPr>
      <w:r w:rsidRPr="00271B28">
        <w:t>11.</w:t>
      </w:r>
      <w:r w:rsidRPr="00271B28">
        <w:tab/>
        <w:t>Herbstman, J. B.; Sjodin, A.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Birth delivery mode modifies the associations between prenatal polychlorinated biphenyl (PCB) and polybrominated diphenyl ether (PBDE) and neonatal thyroid hormone levels. </w:t>
      </w:r>
      <w:r w:rsidRPr="00271B28">
        <w:rPr>
          <w:i/>
        </w:rPr>
        <w:t xml:space="preserve">Environ Health Perspect </w:t>
      </w:r>
      <w:r w:rsidRPr="00271B28">
        <w:rPr>
          <w:b/>
        </w:rPr>
        <w:t>2008,</w:t>
      </w:r>
      <w:r w:rsidRPr="00271B28">
        <w:t xml:space="preserve"> </w:t>
      </w:r>
      <w:r w:rsidRPr="00271B28">
        <w:rPr>
          <w:i/>
        </w:rPr>
        <w:t>116</w:t>
      </w:r>
      <w:r w:rsidRPr="00271B28">
        <w:t>, 1376-82.</w:t>
      </w:r>
    </w:p>
    <w:p w14:paraId="0F2D0AD2" w14:textId="531B8FD0" w:rsidR="00271B28" w:rsidRPr="00271B28" w:rsidRDefault="00271B28" w:rsidP="00271B28">
      <w:pPr>
        <w:pStyle w:val="EndNoteBibliography"/>
        <w:spacing w:after="0"/>
      </w:pPr>
      <w:r w:rsidRPr="00271B28">
        <w:t>12.</w:t>
      </w:r>
      <w:r w:rsidRPr="00271B28">
        <w:tab/>
        <w:t>Chevrier, J.; Harley, K. G.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Polybrominated diphenyl ether (PBDE) flame retardants and thyroid hormone during pregnancy. </w:t>
      </w:r>
      <w:r w:rsidRPr="00271B28">
        <w:rPr>
          <w:i/>
        </w:rPr>
        <w:t xml:space="preserve">Environ Health Perspect </w:t>
      </w:r>
      <w:r w:rsidRPr="00271B28">
        <w:rPr>
          <w:b/>
        </w:rPr>
        <w:t>2010,</w:t>
      </w:r>
      <w:r w:rsidRPr="00271B28">
        <w:t xml:space="preserve"> </w:t>
      </w:r>
      <w:r w:rsidRPr="00271B28">
        <w:rPr>
          <w:i/>
        </w:rPr>
        <w:t>118</w:t>
      </w:r>
      <w:r w:rsidRPr="00271B28">
        <w:t>, 1444-9.</w:t>
      </w:r>
    </w:p>
    <w:p w14:paraId="08867F79" w14:textId="6368F866" w:rsidR="00271B28" w:rsidRPr="00271B28" w:rsidRDefault="00271B28" w:rsidP="00271B28">
      <w:pPr>
        <w:pStyle w:val="EndNoteBibliography"/>
        <w:spacing w:after="0"/>
      </w:pPr>
      <w:r w:rsidRPr="00271B28">
        <w:t>13.</w:t>
      </w:r>
      <w:r w:rsidRPr="00271B28">
        <w:tab/>
        <w:t>Chevrier, J.; Harley, K. G.</w:t>
      </w:r>
      <w:r w:rsidR="008424D6" w:rsidRPr="008424D6">
        <w:rPr>
          <w:i/>
        </w:rPr>
        <w:t xml:space="preserve"> </w:t>
      </w:r>
      <w:r w:rsidR="008424D6" w:rsidRPr="00DE6810">
        <w:rPr>
          <w:i/>
        </w:rPr>
        <w:t>et al.</w:t>
      </w:r>
      <w:r w:rsidRPr="00271B28">
        <w:t xml:space="preserve"> Prenatal exposure to polybrominated diphenyl ether flame retardants and neonatal thyroid-stimulating hormone levels in the CHAMACOS study. </w:t>
      </w:r>
      <w:r w:rsidRPr="00271B28">
        <w:rPr>
          <w:i/>
        </w:rPr>
        <w:t xml:space="preserve">Am J Epidemiol </w:t>
      </w:r>
      <w:r w:rsidRPr="00271B28">
        <w:rPr>
          <w:b/>
        </w:rPr>
        <w:t>2011,</w:t>
      </w:r>
      <w:r w:rsidRPr="00271B28">
        <w:t xml:space="preserve"> </w:t>
      </w:r>
      <w:r w:rsidRPr="00271B28">
        <w:rPr>
          <w:i/>
        </w:rPr>
        <w:t>174</w:t>
      </w:r>
      <w:r w:rsidRPr="00271B28">
        <w:t>, 1166-74.</w:t>
      </w:r>
    </w:p>
    <w:p w14:paraId="610223A1" w14:textId="4D0E5917" w:rsidR="00271B28" w:rsidRPr="00271B28" w:rsidRDefault="00271B28" w:rsidP="00271B28">
      <w:pPr>
        <w:pStyle w:val="EndNoteBibliography"/>
        <w:spacing w:after="0"/>
      </w:pPr>
      <w:r w:rsidRPr="00271B28">
        <w:t>14.</w:t>
      </w:r>
      <w:r w:rsidRPr="00271B28">
        <w:tab/>
        <w:t>Vuong, A. M.; Webster, G. M.</w:t>
      </w:r>
      <w:r w:rsidR="008424D6" w:rsidRPr="008424D6">
        <w:rPr>
          <w:i/>
        </w:rPr>
        <w:t xml:space="preserve"> </w:t>
      </w:r>
      <w:r w:rsidR="008424D6" w:rsidRPr="00DE6810">
        <w:rPr>
          <w:i/>
        </w:rPr>
        <w:t>et al.</w:t>
      </w:r>
      <w:r w:rsidRPr="00271B28">
        <w:t xml:space="preserve"> Maternal Polybrominated Diphenyl Ether (PBDE) Exposure and Thyroid Hormones in Maternal and Cord Sera: The HOME Study, Cincinnati, USA. </w:t>
      </w:r>
      <w:r w:rsidRPr="00271B28">
        <w:rPr>
          <w:i/>
        </w:rPr>
        <w:t xml:space="preserve">Environ Health Perspect </w:t>
      </w:r>
      <w:r w:rsidRPr="00271B28">
        <w:rPr>
          <w:b/>
        </w:rPr>
        <w:t>2015,</w:t>
      </w:r>
      <w:r w:rsidRPr="00271B28">
        <w:t xml:space="preserve"> </w:t>
      </w:r>
      <w:r w:rsidRPr="00271B28">
        <w:rPr>
          <w:i/>
        </w:rPr>
        <w:t>123</w:t>
      </w:r>
      <w:r w:rsidRPr="00271B28">
        <w:t>, 1079-85.</w:t>
      </w:r>
    </w:p>
    <w:p w14:paraId="6016F35C" w14:textId="3A7CA0BF" w:rsidR="00271B28" w:rsidRPr="00271B28" w:rsidRDefault="00271B28" w:rsidP="00271B28">
      <w:pPr>
        <w:pStyle w:val="EndNoteBibliography"/>
        <w:spacing w:after="0"/>
      </w:pPr>
      <w:r w:rsidRPr="00271B28">
        <w:t>15.</w:t>
      </w:r>
      <w:r w:rsidRPr="00271B28">
        <w:tab/>
        <w:t>Harley, K. G.; Marks, A. R.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PBDE concentrations in women's serum and fecundability. </w:t>
      </w:r>
      <w:r w:rsidRPr="00271B28">
        <w:rPr>
          <w:i/>
        </w:rPr>
        <w:t xml:space="preserve">Environ Health Perspect </w:t>
      </w:r>
      <w:r w:rsidRPr="00271B28">
        <w:rPr>
          <w:b/>
        </w:rPr>
        <w:t>2010,</w:t>
      </w:r>
      <w:r w:rsidRPr="00271B28">
        <w:t xml:space="preserve"> </w:t>
      </w:r>
      <w:r w:rsidRPr="00271B28">
        <w:rPr>
          <w:i/>
        </w:rPr>
        <w:t>118</w:t>
      </w:r>
      <w:r w:rsidRPr="00271B28">
        <w:t>, 699-704.</w:t>
      </w:r>
    </w:p>
    <w:p w14:paraId="1D0AC858" w14:textId="5A2F8D9C" w:rsidR="00271B28" w:rsidRPr="00271B28" w:rsidRDefault="00271B28" w:rsidP="00271B28">
      <w:pPr>
        <w:pStyle w:val="EndNoteBibliography"/>
        <w:spacing w:after="0"/>
      </w:pPr>
      <w:r w:rsidRPr="00271B28">
        <w:t>16.</w:t>
      </w:r>
      <w:r w:rsidRPr="00271B28">
        <w:tab/>
        <w:t>Stapleton, H.; Dodder, N.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Polybrominated diphenyl ethers in house dust and clothes dryer lint. </w:t>
      </w:r>
      <w:r w:rsidRPr="00271B28">
        <w:rPr>
          <w:i/>
        </w:rPr>
        <w:t xml:space="preserve">Environ Sci Technol </w:t>
      </w:r>
      <w:r w:rsidRPr="00271B28">
        <w:rPr>
          <w:b/>
        </w:rPr>
        <w:t>2005,</w:t>
      </w:r>
      <w:r w:rsidRPr="00271B28">
        <w:t xml:space="preserve"> </w:t>
      </w:r>
      <w:r w:rsidRPr="00271B28">
        <w:rPr>
          <w:i/>
        </w:rPr>
        <w:t>39</w:t>
      </w:r>
      <w:r w:rsidRPr="00271B28">
        <w:t>, 925-931.</w:t>
      </w:r>
    </w:p>
    <w:p w14:paraId="715A106B" w14:textId="6D588BC9" w:rsidR="00271B28" w:rsidRPr="00271B28" w:rsidRDefault="00271B28" w:rsidP="00271B28">
      <w:pPr>
        <w:pStyle w:val="EndNoteBibliography"/>
        <w:spacing w:after="0"/>
      </w:pPr>
      <w:r w:rsidRPr="00271B28">
        <w:t>17.</w:t>
      </w:r>
      <w:r w:rsidRPr="00271B28">
        <w:tab/>
        <w:t>Sjodin, A.; Papke, O.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Concentration of polybrominated diphenyl ethers (PBDEs) in household dust from various countries. </w:t>
      </w:r>
      <w:r w:rsidRPr="00271B28">
        <w:rPr>
          <w:i/>
        </w:rPr>
        <w:t xml:space="preserve">Chemosphere </w:t>
      </w:r>
      <w:r w:rsidRPr="00271B28">
        <w:rPr>
          <w:b/>
        </w:rPr>
        <w:t>2008,</w:t>
      </w:r>
      <w:r w:rsidRPr="00271B28">
        <w:t xml:space="preserve"> </w:t>
      </w:r>
      <w:r w:rsidRPr="00271B28">
        <w:rPr>
          <w:i/>
        </w:rPr>
        <w:t>73</w:t>
      </w:r>
      <w:r w:rsidRPr="00271B28">
        <w:t>, (1 Suppl), S131-6.</w:t>
      </w:r>
    </w:p>
    <w:p w14:paraId="654D67A3" w14:textId="78F7905B" w:rsidR="00271B28" w:rsidRPr="00271B28" w:rsidRDefault="00271B28" w:rsidP="00271B28">
      <w:pPr>
        <w:pStyle w:val="EndNoteBibliography"/>
        <w:spacing w:after="0"/>
      </w:pPr>
      <w:r w:rsidRPr="00271B28">
        <w:t>18.</w:t>
      </w:r>
      <w:r w:rsidRPr="00271B28">
        <w:tab/>
        <w:t>Schecter, A.; Haffner, D.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Polybrominated Diphenyl Ethers (PBDEs) and Hexabromocyclodecane (HBCD) in Composite U.S. Food Samples. </w:t>
      </w:r>
      <w:r w:rsidRPr="00271B28">
        <w:rPr>
          <w:i/>
        </w:rPr>
        <w:t xml:space="preserve">Environ Health Perspect </w:t>
      </w:r>
      <w:r w:rsidRPr="00271B28">
        <w:rPr>
          <w:b/>
        </w:rPr>
        <w:t>2010,</w:t>
      </w:r>
      <w:r w:rsidRPr="00271B28">
        <w:t xml:space="preserve"> </w:t>
      </w:r>
      <w:r w:rsidRPr="00271B28">
        <w:rPr>
          <w:i/>
        </w:rPr>
        <w:t>118</w:t>
      </w:r>
      <w:r w:rsidRPr="00271B28">
        <w:t>, 357-362.</w:t>
      </w:r>
    </w:p>
    <w:p w14:paraId="6856D766" w14:textId="4C69FA74" w:rsidR="00271B28" w:rsidRPr="00271B28" w:rsidRDefault="00271B28" w:rsidP="00271B28">
      <w:pPr>
        <w:pStyle w:val="EndNoteBibliography"/>
        <w:spacing w:after="0"/>
      </w:pPr>
      <w:r w:rsidRPr="00271B28">
        <w:t>19.</w:t>
      </w:r>
      <w:r w:rsidRPr="00271B28">
        <w:tab/>
        <w:t>Alaee, M.; Arias, P.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An overview of commercially used brominated flame retardants, their applications, their use patterns in different countries/regions and possible modes of release. </w:t>
      </w:r>
      <w:r w:rsidRPr="00271B28">
        <w:rPr>
          <w:i/>
        </w:rPr>
        <w:t xml:space="preserve">Environ Int </w:t>
      </w:r>
      <w:r w:rsidRPr="00271B28">
        <w:rPr>
          <w:b/>
        </w:rPr>
        <w:t>2003,</w:t>
      </w:r>
      <w:r w:rsidRPr="00271B28">
        <w:t xml:space="preserve"> </w:t>
      </w:r>
      <w:r w:rsidRPr="00271B28">
        <w:rPr>
          <w:i/>
        </w:rPr>
        <w:t>29</w:t>
      </w:r>
      <w:r w:rsidRPr="00271B28">
        <w:t>, 683-9.</w:t>
      </w:r>
    </w:p>
    <w:p w14:paraId="4159DF4D" w14:textId="360498DB" w:rsidR="00271B28" w:rsidRPr="00271B28" w:rsidRDefault="00271B28" w:rsidP="00271B28">
      <w:pPr>
        <w:pStyle w:val="EndNoteBibliography"/>
        <w:spacing w:after="0"/>
      </w:pPr>
      <w:r w:rsidRPr="00271B28">
        <w:lastRenderedPageBreak/>
        <w:t>20.</w:t>
      </w:r>
      <w:r w:rsidRPr="00271B28">
        <w:tab/>
        <w:t>Thuresson, K.; Hoglund, P.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Apparent half-lives of hepta- to decabrominated diphenyl ethers in human serum as determined in occupationally exposed workers. </w:t>
      </w:r>
      <w:r w:rsidRPr="00271B28">
        <w:rPr>
          <w:i/>
        </w:rPr>
        <w:t xml:space="preserve">Environ Health Perspect </w:t>
      </w:r>
      <w:r w:rsidRPr="00271B28">
        <w:rPr>
          <w:b/>
        </w:rPr>
        <w:t>2006,</w:t>
      </w:r>
      <w:r w:rsidRPr="00271B28">
        <w:t xml:space="preserve"> </w:t>
      </w:r>
      <w:r w:rsidRPr="00271B28">
        <w:rPr>
          <w:i/>
        </w:rPr>
        <w:t>114</w:t>
      </w:r>
      <w:r w:rsidRPr="00271B28">
        <w:t>, 176-81.</w:t>
      </w:r>
    </w:p>
    <w:p w14:paraId="2D01A3B6" w14:textId="7530F105" w:rsidR="00271B28" w:rsidRPr="00271B28" w:rsidRDefault="00271B28" w:rsidP="00271B28">
      <w:pPr>
        <w:pStyle w:val="EndNoteBibliography"/>
        <w:spacing w:after="0"/>
      </w:pPr>
      <w:r w:rsidRPr="00271B28">
        <w:t>21.</w:t>
      </w:r>
      <w:r w:rsidRPr="00271B28">
        <w:tab/>
        <w:t>Geyer, H. J.; Schramm, K.-W.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Terminal elimination half-lives of the brominated flame retardants TBBPA, HBCD, and lower brominated PBDEs in humans. </w:t>
      </w:r>
      <w:r w:rsidRPr="00271B28">
        <w:rPr>
          <w:i/>
        </w:rPr>
        <w:t xml:space="preserve">Organohalogen Comp </w:t>
      </w:r>
      <w:r w:rsidRPr="00271B28">
        <w:rPr>
          <w:b/>
        </w:rPr>
        <w:t>2002,</w:t>
      </w:r>
      <w:r w:rsidRPr="00271B28">
        <w:t xml:space="preserve"> </w:t>
      </w:r>
      <w:r w:rsidRPr="00271B28">
        <w:rPr>
          <w:i/>
        </w:rPr>
        <w:t>66</w:t>
      </w:r>
      <w:r w:rsidRPr="00271B28">
        <w:t>, 3820-3825.</w:t>
      </w:r>
    </w:p>
    <w:p w14:paraId="12726F8C" w14:textId="719B4C6B" w:rsidR="00271B28" w:rsidRPr="00271B28" w:rsidRDefault="00271B28" w:rsidP="00271B28">
      <w:pPr>
        <w:pStyle w:val="EndNoteBibliography"/>
        <w:spacing w:after="0"/>
      </w:pPr>
      <w:r w:rsidRPr="00271B28">
        <w:t>22.</w:t>
      </w:r>
      <w:r w:rsidRPr="00271B28">
        <w:tab/>
        <w:t>Wong, F.; Cousins, I. T.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Bounding uncertainties in intrinsic human elimination half-lives and intake of polybrominated diphenyl ethers in the North American population </w:t>
      </w:r>
      <w:r w:rsidRPr="00271B28">
        <w:rPr>
          <w:i/>
        </w:rPr>
        <w:t xml:space="preserve">Environ Int </w:t>
      </w:r>
      <w:r w:rsidRPr="00271B28">
        <w:rPr>
          <w:b/>
        </w:rPr>
        <w:t>2013,</w:t>
      </w:r>
      <w:r w:rsidRPr="00271B28">
        <w:t xml:space="preserve"> </w:t>
      </w:r>
      <w:r w:rsidRPr="00271B28">
        <w:rPr>
          <w:i/>
        </w:rPr>
        <w:t>59</w:t>
      </w:r>
      <w:r w:rsidRPr="00271B28">
        <w:t>, 168-174.</w:t>
      </w:r>
    </w:p>
    <w:p w14:paraId="70DDCB62" w14:textId="6DCF8B98" w:rsidR="00271B28" w:rsidRPr="00271B28" w:rsidRDefault="00271B28" w:rsidP="00271B28">
      <w:pPr>
        <w:pStyle w:val="EndNoteBibliography"/>
        <w:spacing w:after="0"/>
      </w:pPr>
      <w:r w:rsidRPr="00271B28">
        <w:t>23.</w:t>
      </w:r>
      <w:r w:rsidRPr="00271B28">
        <w:tab/>
        <w:t>Sjödin, A.; Jones, R.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Polybrominated Diphenyl Ethers and Other Persistent Organic Pollutants in Serum Pools from the National Health and Nutrition Examination Survey: 2001−2002. </w:t>
      </w:r>
      <w:r w:rsidRPr="00271B28">
        <w:rPr>
          <w:i/>
        </w:rPr>
        <w:t xml:space="preserve">Environ Sci Technol Letters </w:t>
      </w:r>
      <w:r w:rsidRPr="00271B28">
        <w:rPr>
          <w:b/>
        </w:rPr>
        <w:t>2014,</w:t>
      </w:r>
      <w:r w:rsidRPr="00271B28">
        <w:t xml:space="preserve"> </w:t>
      </w:r>
      <w:r w:rsidRPr="00271B28">
        <w:rPr>
          <w:i/>
        </w:rPr>
        <w:t>1</w:t>
      </w:r>
      <w:r w:rsidRPr="00271B28">
        <w:t>, 92-96.</w:t>
      </w:r>
    </w:p>
    <w:p w14:paraId="60CD76E0" w14:textId="4E2B479F" w:rsidR="00271B28" w:rsidRPr="00271B28" w:rsidRDefault="00271B28" w:rsidP="00271B28">
      <w:pPr>
        <w:pStyle w:val="EndNoteBibliography"/>
        <w:spacing w:after="0"/>
      </w:pPr>
      <w:r w:rsidRPr="00271B28">
        <w:t>24.</w:t>
      </w:r>
      <w:r w:rsidRPr="00271B28">
        <w:tab/>
        <w:t>Toms, L. L.; Sjodin, A.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Temporal trends in serum polybrominated diphenyl ether concentrations in the Australian population, 2002-2013. </w:t>
      </w:r>
      <w:r w:rsidRPr="00271B28">
        <w:rPr>
          <w:i/>
        </w:rPr>
        <w:t xml:space="preserve">Environ Int </w:t>
      </w:r>
      <w:r w:rsidRPr="00271B28">
        <w:rPr>
          <w:b/>
        </w:rPr>
        <w:t>2018,</w:t>
      </w:r>
      <w:r w:rsidRPr="00271B28">
        <w:t xml:space="preserve"> </w:t>
      </w:r>
      <w:r w:rsidRPr="00271B28">
        <w:rPr>
          <w:i/>
        </w:rPr>
        <w:t>121</w:t>
      </w:r>
      <w:r w:rsidRPr="00271B28">
        <w:t>, 357-364.</w:t>
      </w:r>
    </w:p>
    <w:p w14:paraId="2EF5F697" w14:textId="3649A76C" w:rsidR="00271B28" w:rsidRPr="00271B28" w:rsidRDefault="00271B28" w:rsidP="00271B28">
      <w:pPr>
        <w:pStyle w:val="EndNoteBibliography"/>
        <w:spacing w:after="0"/>
      </w:pPr>
      <w:r w:rsidRPr="00271B28">
        <w:t>25.</w:t>
      </w:r>
      <w:r w:rsidRPr="00271B28">
        <w:tab/>
      </w:r>
      <w:r w:rsidR="00517542">
        <w:t xml:space="preserve">Comonwealth of </w:t>
      </w:r>
      <w:r w:rsidRPr="00271B28">
        <w:t>Australia,</w:t>
      </w:r>
      <w:r w:rsidR="00517542" w:rsidRPr="00517542">
        <w:rPr>
          <w:rFonts w:ascii="Segoe UI" w:hAnsi="Segoe UI" w:cs="Segoe UI"/>
          <w:sz w:val="18"/>
          <w:szCs w:val="18"/>
        </w:rPr>
        <w:t xml:space="preserve"> </w:t>
      </w:r>
      <w:r w:rsidR="00517542">
        <w:rPr>
          <w:rFonts w:ascii="Segoe UI" w:hAnsi="Segoe UI" w:cs="Segoe UI"/>
          <w:sz w:val="18"/>
          <w:szCs w:val="18"/>
        </w:rPr>
        <w:t>Department of Health and Ageing</w:t>
      </w:r>
      <w:r w:rsidRPr="00271B28">
        <w:t>, National Industrial Chemicals Notification and Assessment Scheme: Robert Garran Offices, National Circuit, Canberra ACT 2600, 2007; pp 5-6.</w:t>
      </w:r>
    </w:p>
    <w:p w14:paraId="3E987A26" w14:textId="33CA11CB" w:rsidR="00271B28" w:rsidRPr="00271B28" w:rsidRDefault="00271B28" w:rsidP="00271B28">
      <w:pPr>
        <w:pStyle w:val="EndNoteBibliography"/>
        <w:spacing w:after="0"/>
      </w:pPr>
      <w:r w:rsidRPr="00271B28">
        <w:t>26.</w:t>
      </w:r>
      <w:r w:rsidRPr="00271B28">
        <w:tab/>
        <w:t>Sjödin, A.; Jones, R.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Semiautomated high-throughput extraction and cleanup method for the measurement of polybrominated diphenyl ethers, polybrominated biphenyls, and polychlorinated biphenyls in human serum. </w:t>
      </w:r>
      <w:r w:rsidRPr="00271B28">
        <w:rPr>
          <w:i/>
        </w:rPr>
        <w:t xml:space="preserve">Anal. Chem. </w:t>
      </w:r>
      <w:r w:rsidRPr="00271B28">
        <w:rPr>
          <w:b/>
        </w:rPr>
        <w:t>2004,</w:t>
      </w:r>
      <w:r w:rsidRPr="00271B28">
        <w:t xml:space="preserve"> </w:t>
      </w:r>
      <w:r w:rsidRPr="00271B28">
        <w:rPr>
          <w:i/>
        </w:rPr>
        <w:t>76</w:t>
      </w:r>
      <w:r w:rsidRPr="00271B28">
        <w:t>, 1921-1927.</w:t>
      </w:r>
    </w:p>
    <w:p w14:paraId="4F34451B" w14:textId="6A1968FE" w:rsidR="00271B28" w:rsidRPr="00271B28" w:rsidRDefault="00271B28" w:rsidP="00271B28">
      <w:pPr>
        <w:pStyle w:val="EndNoteBibliography"/>
        <w:spacing w:after="0"/>
      </w:pPr>
      <w:r w:rsidRPr="00271B28">
        <w:t>27.</w:t>
      </w:r>
      <w:r w:rsidRPr="00271B28">
        <w:tab/>
        <w:t>Jones, R.; Edenfield, E.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Semi-automated extraction and cleanup method for measuring organic pollutants in human serum. </w:t>
      </w:r>
      <w:r w:rsidRPr="00271B28">
        <w:rPr>
          <w:i/>
        </w:rPr>
        <w:t xml:space="preserve">Organohalogen Comp </w:t>
      </w:r>
      <w:r w:rsidRPr="00271B28">
        <w:rPr>
          <w:b/>
        </w:rPr>
        <w:t>2012,</w:t>
      </w:r>
      <w:r w:rsidRPr="00271B28">
        <w:t xml:space="preserve"> </w:t>
      </w:r>
      <w:r w:rsidRPr="00271B28">
        <w:rPr>
          <w:i/>
        </w:rPr>
        <w:t>74</w:t>
      </w:r>
      <w:r w:rsidRPr="00271B28">
        <w:t>, 97-97.</w:t>
      </w:r>
    </w:p>
    <w:p w14:paraId="4011B2ED" w14:textId="6BDDC6B7" w:rsidR="00271B28" w:rsidRPr="00271B28" w:rsidRDefault="00271B28" w:rsidP="00271B28">
      <w:pPr>
        <w:pStyle w:val="EndNoteBibliography"/>
        <w:spacing w:after="0"/>
      </w:pPr>
      <w:r w:rsidRPr="00271B28">
        <w:t>28.</w:t>
      </w:r>
      <w:r w:rsidRPr="00271B28">
        <w:tab/>
        <w:t>Russell, M. H.; Waterland, R. L.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Calculation of chemical elimination half-life from blood with an ongoing exposure source: The example of perfluorooctanoic acid (PFOA). </w:t>
      </w:r>
      <w:r w:rsidRPr="00271B28">
        <w:rPr>
          <w:i/>
        </w:rPr>
        <w:t xml:space="preserve">Chemosphere </w:t>
      </w:r>
      <w:r w:rsidRPr="00271B28">
        <w:rPr>
          <w:b/>
        </w:rPr>
        <w:t>2015,</w:t>
      </w:r>
      <w:r w:rsidRPr="00271B28">
        <w:t xml:space="preserve"> </w:t>
      </w:r>
      <w:r w:rsidRPr="00271B28">
        <w:rPr>
          <w:i/>
        </w:rPr>
        <w:t>129</w:t>
      </w:r>
      <w:r w:rsidRPr="00271B28">
        <w:t>, 210-216.</w:t>
      </w:r>
    </w:p>
    <w:p w14:paraId="57F8DBAD" w14:textId="361D50A5" w:rsidR="00271B28" w:rsidRPr="00271B28" w:rsidRDefault="00271B28" w:rsidP="00271B28">
      <w:pPr>
        <w:pStyle w:val="EndNoteBibliography"/>
        <w:spacing w:after="0"/>
      </w:pPr>
      <w:r w:rsidRPr="00271B28">
        <w:t>29.</w:t>
      </w:r>
      <w:r w:rsidRPr="00271B28">
        <w:tab/>
        <w:t xml:space="preserve">Harrison, R. L. Introduction to Monte Carlo simulation. </w:t>
      </w:r>
      <w:r w:rsidRPr="00271B28">
        <w:rPr>
          <w:i/>
        </w:rPr>
        <w:t xml:space="preserve">AIP Conf Proc </w:t>
      </w:r>
      <w:r w:rsidRPr="00271B28">
        <w:rPr>
          <w:b/>
        </w:rPr>
        <w:t>2010,</w:t>
      </w:r>
      <w:r w:rsidRPr="00271B28">
        <w:t xml:space="preserve"> </w:t>
      </w:r>
      <w:r w:rsidRPr="00271B28">
        <w:rPr>
          <w:i/>
        </w:rPr>
        <w:t>1204</w:t>
      </w:r>
      <w:r w:rsidRPr="00271B28">
        <w:t>, 17-21.</w:t>
      </w:r>
    </w:p>
    <w:p w14:paraId="24A623F0" w14:textId="598C65CC" w:rsidR="00271B28" w:rsidRPr="00271B28" w:rsidRDefault="00271B28" w:rsidP="00271B28">
      <w:pPr>
        <w:pStyle w:val="EndNoteBibliography"/>
        <w:spacing w:after="0"/>
      </w:pPr>
      <w:r w:rsidRPr="00271B28">
        <w:t>30.</w:t>
      </w:r>
      <w:r w:rsidRPr="00271B28">
        <w:tab/>
        <w:t>Toms, L.; Sjödin, A.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Serum polybrominated diphenyl ether (PBDE) levels are higher in children (2-5 years of age) than in infants and adults. </w:t>
      </w:r>
      <w:r w:rsidRPr="00271B28">
        <w:rPr>
          <w:i/>
        </w:rPr>
        <w:t xml:space="preserve">Environ Health Perspect </w:t>
      </w:r>
      <w:r w:rsidRPr="00271B28">
        <w:rPr>
          <w:b/>
        </w:rPr>
        <w:t>2009,</w:t>
      </w:r>
      <w:r w:rsidRPr="00271B28">
        <w:t xml:space="preserve"> </w:t>
      </w:r>
      <w:r w:rsidRPr="00271B28">
        <w:rPr>
          <w:i/>
        </w:rPr>
        <w:t>117</w:t>
      </w:r>
      <w:r w:rsidRPr="00271B28">
        <w:t>, 1461-1465.</w:t>
      </w:r>
    </w:p>
    <w:p w14:paraId="34A0C445" w14:textId="3E435554" w:rsidR="00271B28" w:rsidRPr="00271B28" w:rsidRDefault="00271B28" w:rsidP="00271B28">
      <w:pPr>
        <w:pStyle w:val="EndNoteBibliography"/>
        <w:spacing w:after="0"/>
      </w:pPr>
      <w:r w:rsidRPr="00271B28">
        <w:t>31.</w:t>
      </w:r>
      <w:r w:rsidRPr="00271B28">
        <w:tab/>
        <w:t>Toms, L.; Guerra, P.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Brominated flame retardants in the Australian population: 1993-2009. </w:t>
      </w:r>
      <w:r w:rsidRPr="00271B28">
        <w:rPr>
          <w:i/>
        </w:rPr>
        <w:t xml:space="preserve">Chemosphere </w:t>
      </w:r>
      <w:r w:rsidRPr="00271B28">
        <w:rPr>
          <w:b/>
        </w:rPr>
        <w:t>2012,</w:t>
      </w:r>
      <w:r w:rsidRPr="00271B28">
        <w:t xml:space="preserve"> </w:t>
      </w:r>
      <w:r w:rsidRPr="00271B28">
        <w:rPr>
          <w:i/>
        </w:rPr>
        <w:t>89</w:t>
      </w:r>
      <w:r w:rsidRPr="00271B28">
        <w:t>, 398-403.</w:t>
      </w:r>
    </w:p>
    <w:p w14:paraId="6A35BC80" w14:textId="3AD98149" w:rsidR="00271B28" w:rsidRPr="00271B28" w:rsidRDefault="00271B28" w:rsidP="00271B28">
      <w:pPr>
        <w:pStyle w:val="EndNoteBibliography"/>
        <w:spacing w:after="0"/>
      </w:pPr>
      <w:r w:rsidRPr="00271B28">
        <w:t>32.</w:t>
      </w:r>
      <w:r w:rsidRPr="00271B28">
        <w:tab/>
        <w:t>Sjödin, A.; Wong, L.-Y.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Serum Concentrations of Polybrominated Diphenyl Ethers (PBDEs) and Polybrominated Biphenyl (PBB) in the United States Population: 2003–2004. </w:t>
      </w:r>
      <w:r w:rsidRPr="00271B28">
        <w:rPr>
          <w:i/>
        </w:rPr>
        <w:t xml:space="preserve">Environ Sci Technol </w:t>
      </w:r>
      <w:r w:rsidRPr="00271B28">
        <w:rPr>
          <w:b/>
        </w:rPr>
        <w:t>2008,</w:t>
      </w:r>
      <w:r w:rsidRPr="00271B28">
        <w:t xml:space="preserve"> </w:t>
      </w:r>
      <w:r w:rsidRPr="00271B28">
        <w:rPr>
          <w:i/>
        </w:rPr>
        <w:t>42</w:t>
      </w:r>
      <w:r w:rsidRPr="00271B28">
        <w:t>, 1377-1384.</w:t>
      </w:r>
    </w:p>
    <w:p w14:paraId="4EC46B24" w14:textId="03E378E8" w:rsidR="00271B28" w:rsidRPr="00271B28" w:rsidRDefault="00271B28" w:rsidP="00271B28">
      <w:pPr>
        <w:pStyle w:val="EndNoteBibliography"/>
        <w:spacing w:after="0"/>
      </w:pPr>
      <w:r w:rsidRPr="00271B28">
        <w:t>33.</w:t>
      </w:r>
      <w:r w:rsidRPr="00271B28">
        <w:tab/>
        <w:t xml:space="preserve">Sjödin, A.; </w:t>
      </w:r>
      <w:r w:rsidR="008424D6" w:rsidRPr="00271B28">
        <w:t>Jones, R. S.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Polybrominated Diphenyl Ethers, Polychlorinated Biphenyls, and Persistent Pesticides in Serum from the National Health and Nutrition Examination Survey: 2003−2008. </w:t>
      </w:r>
      <w:r w:rsidRPr="00271B28">
        <w:rPr>
          <w:i/>
        </w:rPr>
        <w:t xml:space="preserve">Environ Sci Technol </w:t>
      </w:r>
      <w:r w:rsidRPr="00271B28">
        <w:rPr>
          <w:b/>
        </w:rPr>
        <w:t>2014,</w:t>
      </w:r>
      <w:r w:rsidRPr="00271B28">
        <w:t xml:space="preserve"> </w:t>
      </w:r>
      <w:r w:rsidRPr="00271B28">
        <w:rPr>
          <w:i/>
        </w:rPr>
        <w:t>48</w:t>
      </w:r>
      <w:r w:rsidRPr="00271B28">
        <w:t>, 753-760.</w:t>
      </w:r>
    </w:p>
    <w:p w14:paraId="1C7C0256" w14:textId="0C715515" w:rsidR="00271B28" w:rsidRPr="00271B28" w:rsidRDefault="00271B28" w:rsidP="00271B28">
      <w:pPr>
        <w:pStyle w:val="EndNoteBibliography"/>
        <w:spacing w:after="0"/>
      </w:pPr>
      <w:r w:rsidRPr="00271B28">
        <w:t>34.</w:t>
      </w:r>
      <w:r w:rsidRPr="00271B28">
        <w:tab/>
        <w:t>Thuresson, K.; Höglund, P.</w:t>
      </w:r>
      <w:r w:rsidR="008424D6">
        <w:t xml:space="preserve"> </w:t>
      </w:r>
      <w:r w:rsidR="008424D6" w:rsidRPr="00DE6810">
        <w:rPr>
          <w:i/>
        </w:rPr>
        <w:t>et al.</w:t>
      </w:r>
      <w:r w:rsidRPr="00271B28">
        <w:t xml:space="preserve"> Apparent half-lives of hepta- to decabrominated diphenyl ethers in human serum as determined in occupationally exposed workers. </w:t>
      </w:r>
      <w:r w:rsidRPr="00271B28">
        <w:rPr>
          <w:i/>
        </w:rPr>
        <w:t xml:space="preserve">Environmental Health Perspectives </w:t>
      </w:r>
      <w:r w:rsidRPr="00271B28">
        <w:rPr>
          <w:b/>
        </w:rPr>
        <w:t>2006,</w:t>
      </w:r>
      <w:r w:rsidRPr="00271B28">
        <w:t xml:space="preserve"> </w:t>
      </w:r>
      <w:r w:rsidRPr="00271B28">
        <w:rPr>
          <w:i/>
        </w:rPr>
        <w:t>114</w:t>
      </w:r>
      <w:r w:rsidRPr="00271B28">
        <w:t>, 176-181.</w:t>
      </w:r>
    </w:p>
    <w:p w14:paraId="72BF74FD" w14:textId="72D9C471" w:rsidR="00271B28" w:rsidRPr="00271B28" w:rsidRDefault="00271B28" w:rsidP="00271B28">
      <w:pPr>
        <w:pStyle w:val="EndNoteBibliography"/>
        <w:spacing w:after="0"/>
      </w:pPr>
      <w:r w:rsidRPr="00271B28">
        <w:t>35.</w:t>
      </w:r>
      <w:r w:rsidRPr="00271B28">
        <w:tab/>
        <w:t>Sjödin, A.; Jones, R. S.</w:t>
      </w:r>
      <w:r w:rsidR="008424D6" w:rsidRPr="008424D6">
        <w:rPr>
          <w:i/>
        </w:rPr>
        <w:t xml:space="preserve"> </w:t>
      </w:r>
      <w:r w:rsidR="008424D6" w:rsidRPr="00DE6810">
        <w:rPr>
          <w:i/>
        </w:rPr>
        <w:t>et al.</w:t>
      </w:r>
      <w:r w:rsidRPr="00271B28">
        <w:t xml:space="preserve"> Polybrominated diphenyl ethers and biphenyl in serum: time trend study from the National Health and Nutrition Examination Survey for years 2005/06 through 2013/14. </w:t>
      </w:r>
      <w:r w:rsidRPr="00271B28">
        <w:rPr>
          <w:i/>
        </w:rPr>
        <w:t xml:space="preserve">Environ Sci Technol </w:t>
      </w:r>
      <w:r w:rsidRPr="00271B28">
        <w:rPr>
          <w:b/>
        </w:rPr>
        <w:t>2019,</w:t>
      </w:r>
      <w:r w:rsidRPr="00271B28">
        <w:t xml:space="preserve"> </w:t>
      </w:r>
      <w:r w:rsidR="00F56D6C">
        <w:rPr>
          <w:i/>
        </w:rPr>
        <w:t>53</w:t>
      </w:r>
      <w:r w:rsidRPr="00271B28">
        <w:t xml:space="preserve">, </w:t>
      </w:r>
      <w:r w:rsidR="00C7313F">
        <w:t>6018</w:t>
      </w:r>
      <w:r w:rsidRPr="00271B28">
        <w:t>-</w:t>
      </w:r>
      <w:r w:rsidR="00C7313F">
        <w:t>6024</w:t>
      </w:r>
      <w:r w:rsidRPr="00271B28">
        <w:t>.</w:t>
      </w:r>
    </w:p>
    <w:p w14:paraId="37D981E2" w14:textId="65E33F98" w:rsidR="00124DBF" w:rsidRPr="00124DBF" w:rsidRDefault="00BC7310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sectPr w:rsidR="00124DBF" w:rsidRPr="00124DBF" w:rsidSect="0052061A">
      <w:pgSz w:w="12240" w:h="15840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52490"/>
    <w:multiLevelType w:val="hybridMultilevel"/>
    <w:tmpl w:val="BAD88EF6"/>
    <w:lvl w:ilvl="0" w:tplc="F80EF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 Science Te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wrfr5v5vftvbeff22xfzalzev0perrxedf&quot;&gt;Andreas Publication List&lt;record-ids&gt;&lt;item&gt;9&lt;/item&gt;&lt;item&gt;26&lt;/item&gt;&lt;item&gt;31&lt;/item&gt;&lt;item&gt;33&lt;/item&gt;&lt;item&gt;41&lt;/item&gt;&lt;item&gt;43&lt;/item&gt;&lt;item&gt;58&lt;/item&gt;&lt;item&gt;60&lt;/item&gt;&lt;item&gt;83&lt;/item&gt;&lt;item&gt;87&lt;/item&gt;&lt;item&gt;89&lt;/item&gt;&lt;item&gt;112&lt;/item&gt;&lt;item&gt;167&lt;/item&gt;&lt;/record-ids&gt;&lt;/item&gt;&lt;item db-id=&quot;xvws2tp2o0f9flev2sm5sefvsfttsswfxfv9&quot;&gt;POPs References&lt;record-ids&gt;&lt;item&gt;16&lt;/item&gt;&lt;item&gt;18&lt;/item&gt;&lt;item&gt;19&lt;/item&gt;&lt;item&gt;20&lt;/item&gt;&lt;item&gt;22&lt;/item&gt;&lt;item&gt;28&lt;/item&gt;&lt;item&gt;29&lt;/item&gt;&lt;item&gt;31&lt;/item&gt;&lt;item&gt;41&lt;/item&gt;&lt;item&gt;42&lt;/item&gt;&lt;item&gt;43&lt;/item&gt;&lt;item&gt;44&lt;/item&gt;&lt;item&gt;45&lt;/item&gt;&lt;item&gt;46&lt;/item&gt;&lt;item&gt;47&lt;/item&gt;&lt;item&gt;48&lt;/item&gt;&lt;item&gt;53&lt;/item&gt;&lt;item&gt;54&lt;/item&gt;&lt;item&gt;55&lt;/item&gt;&lt;item&gt;56&lt;/item&gt;&lt;item&gt;57&lt;/item&gt;&lt;item&gt;58&lt;/item&gt;&lt;/record-ids&gt;&lt;/item&gt;&lt;/Libraries&gt;"/>
  </w:docVars>
  <w:rsids>
    <w:rsidRoot w:val="00620554"/>
    <w:rsid w:val="00004B0A"/>
    <w:rsid w:val="000079E3"/>
    <w:rsid w:val="000150AA"/>
    <w:rsid w:val="000219F1"/>
    <w:rsid w:val="0002795C"/>
    <w:rsid w:val="00030BE2"/>
    <w:rsid w:val="00031F38"/>
    <w:rsid w:val="00031FBE"/>
    <w:rsid w:val="00037E5F"/>
    <w:rsid w:val="00050D71"/>
    <w:rsid w:val="00051C65"/>
    <w:rsid w:val="00061DB8"/>
    <w:rsid w:val="0006677B"/>
    <w:rsid w:val="00067BF1"/>
    <w:rsid w:val="00093384"/>
    <w:rsid w:val="00094375"/>
    <w:rsid w:val="00094746"/>
    <w:rsid w:val="000A3177"/>
    <w:rsid w:val="000A382A"/>
    <w:rsid w:val="000A47A5"/>
    <w:rsid w:val="000A508C"/>
    <w:rsid w:val="000B3F4C"/>
    <w:rsid w:val="000B684F"/>
    <w:rsid w:val="000C2527"/>
    <w:rsid w:val="000D6B25"/>
    <w:rsid w:val="000E046E"/>
    <w:rsid w:val="000E22D3"/>
    <w:rsid w:val="000E4B88"/>
    <w:rsid w:val="000F32DA"/>
    <w:rsid w:val="000F3920"/>
    <w:rsid w:val="00112A8C"/>
    <w:rsid w:val="00113087"/>
    <w:rsid w:val="00113336"/>
    <w:rsid w:val="00124DBF"/>
    <w:rsid w:val="00127F3F"/>
    <w:rsid w:val="001337EF"/>
    <w:rsid w:val="0014119C"/>
    <w:rsid w:val="00150131"/>
    <w:rsid w:val="001509E5"/>
    <w:rsid w:val="00150AE2"/>
    <w:rsid w:val="001543A1"/>
    <w:rsid w:val="001646C3"/>
    <w:rsid w:val="00166839"/>
    <w:rsid w:val="0017122C"/>
    <w:rsid w:val="00173F44"/>
    <w:rsid w:val="00187D53"/>
    <w:rsid w:val="00196042"/>
    <w:rsid w:val="001A4104"/>
    <w:rsid w:val="001A4E1F"/>
    <w:rsid w:val="001B41CB"/>
    <w:rsid w:val="001C54C1"/>
    <w:rsid w:val="001D13B3"/>
    <w:rsid w:val="001D4776"/>
    <w:rsid w:val="001D4AA7"/>
    <w:rsid w:val="001D5F2B"/>
    <w:rsid w:val="001E2DC8"/>
    <w:rsid w:val="001E5342"/>
    <w:rsid w:val="001F33B3"/>
    <w:rsid w:val="001F5977"/>
    <w:rsid w:val="001F7432"/>
    <w:rsid w:val="00203657"/>
    <w:rsid w:val="00207EAC"/>
    <w:rsid w:val="00214C31"/>
    <w:rsid w:val="00221642"/>
    <w:rsid w:val="00225E74"/>
    <w:rsid w:val="0023685F"/>
    <w:rsid w:val="00242937"/>
    <w:rsid w:val="00242DEE"/>
    <w:rsid w:val="00243C9B"/>
    <w:rsid w:val="002449A1"/>
    <w:rsid w:val="002551F7"/>
    <w:rsid w:val="00262B6A"/>
    <w:rsid w:val="00271B28"/>
    <w:rsid w:val="002770E4"/>
    <w:rsid w:val="0027776F"/>
    <w:rsid w:val="002915FF"/>
    <w:rsid w:val="002A4EAF"/>
    <w:rsid w:val="002A5C32"/>
    <w:rsid w:val="002B6BB2"/>
    <w:rsid w:val="002C427D"/>
    <w:rsid w:val="002D63D8"/>
    <w:rsid w:val="002D7B81"/>
    <w:rsid w:val="002E7B4B"/>
    <w:rsid w:val="002F66EC"/>
    <w:rsid w:val="003075A5"/>
    <w:rsid w:val="0031130C"/>
    <w:rsid w:val="003202D3"/>
    <w:rsid w:val="00322DA2"/>
    <w:rsid w:val="00334F01"/>
    <w:rsid w:val="00340903"/>
    <w:rsid w:val="0035020A"/>
    <w:rsid w:val="003510B0"/>
    <w:rsid w:val="00360A3B"/>
    <w:rsid w:val="00362434"/>
    <w:rsid w:val="003715CD"/>
    <w:rsid w:val="0038110D"/>
    <w:rsid w:val="00395D09"/>
    <w:rsid w:val="003A17FB"/>
    <w:rsid w:val="003A6CE8"/>
    <w:rsid w:val="003B33BA"/>
    <w:rsid w:val="003C0AE6"/>
    <w:rsid w:val="003C763B"/>
    <w:rsid w:val="003C7762"/>
    <w:rsid w:val="003E0199"/>
    <w:rsid w:val="003F0588"/>
    <w:rsid w:val="00407180"/>
    <w:rsid w:val="00430583"/>
    <w:rsid w:val="00435FF2"/>
    <w:rsid w:val="0044480B"/>
    <w:rsid w:val="004464E0"/>
    <w:rsid w:val="00446BA2"/>
    <w:rsid w:val="004611EF"/>
    <w:rsid w:val="00463940"/>
    <w:rsid w:val="004652F3"/>
    <w:rsid w:val="004700CD"/>
    <w:rsid w:val="004749D3"/>
    <w:rsid w:val="00483981"/>
    <w:rsid w:val="00487D31"/>
    <w:rsid w:val="00492148"/>
    <w:rsid w:val="004B174F"/>
    <w:rsid w:val="004D3AC3"/>
    <w:rsid w:val="004D3F62"/>
    <w:rsid w:val="005152EB"/>
    <w:rsid w:val="0051676F"/>
    <w:rsid w:val="00517542"/>
    <w:rsid w:val="0052061A"/>
    <w:rsid w:val="0052667B"/>
    <w:rsid w:val="00530109"/>
    <w:rsid w:val="00542AF4"/>
    <w:rsid w:val="00550718"/>
    <w:rsid w:val="00554C38"/>
    <w:rsid w:val="00556377"/>
    <w:rsid w:val="005606AE"/>
    <w:rsid w:val="00574FE3"/>
    <w:rsid w:val="005754A5"/>
    <w:rsid w:val="005809B4"/>
    <w:rsid w:val="00596AD4"/>
    <w:rsid w:val="00597AAD"/>
    <w:rsid w:val="00597BCB"/>
    <w:rsid w:val="005A2143"/>
    <w:rsid w:val="005B585B"/>
    <w:rsid w:val="005C1AF0"/>
    <w:rsid w:val="005D2AFE"/>
    <w:rsid w:val="005D41F4"/>
    <w:rsid w:val="005D5F40"/>
    <w:rsid w:val="005E4A51"/>
    <w:rsid w:val="00600DCD"/>
    <w:rsid w:val="00610137"/>
    <w:rsid w:val="00611011"/>
    <w:rsid w:val="006126CC"/>
    <w:rsid w:val="00620554"/>
    <w:rsid w:val="00621977"/>
    <w:rsid w:val="00625799"/>
    <w:rsid w:val="00630087"/>
    <w:rsid w:val="00653590"/>
    <w:rsid w:val="006553DB"/>
    <w:rsid w:val="0065700C"/>
    <w:rsid w:val="00664C2A"/>
    <w:rsid w:val="00664CCB"/>
    <w:rsid w:val="00665AD6"/>
    <w:rsid w:val="006734D3"/>
    <w:rsid w:val="006736C8"/>
    <w:rsid w:val="006842EF"/>
    <w:rsid w:val="00686624"/>
    <w:rsid w:val="006877E4"/>
    <w:rsid w:val="00690F3A"/>
    <w:rsid w:val="006A12BB"/>
    <w:rsid w:val="006B0FC6"/>
    <w:rsid w:val="006B27BC"/>
    <w:rsid w:val="006B513C"/>
    <w:rsid w:val="006B56EB"/>
    <w:rsid w:val="006C66F4"/>
    <w:rsid w:val="006D124D"/>
    <w:rsid w:val="006D3AF8"/>
    <w:rsid w:val="006E55CB"/>
    <w:rsid w:val="006E5C18"/>
    <w:rsid w:val="006E64EF"/>
    <w:rsid w:val="006F50C1"/>
    <w:rsid w:val="00705F11"/>
    <w:rsid w:val="00707238"/>
    <w:rsid w:val="00707812"/>
    <w:rsid w:val="0072139E"/>
    <w:rsid w:val="0072368C"/>
    <w:rsid w:val="00726505"/>
    <w:rsid w:val="00733B6F"/>
    <w:rsid w:val="0073582A"/>
    <w:rsid w:val="00737085"/>
    <w:rsid w:val="00751501"/>
    <w:rsid w:val="00763351"/>
    <w:rsid w:val="007670AA"/>
    <w:rsid w:val="007A720E"/>
    <w:rsid w:val="007C0904"/>
    <w:rsid w:val="007C0AD6"/>
    <w:rsid w:val="007C2AB5"/>
    <w:rsid w:val="007C2C37"/>
    <w:rsid w:val="007C3C16"/>
    <w:rsid w:val="007D2522"/>
    <w:rsid w:val="007D286B"/>
    <w:rsid w:val="007D304F"/>
    <w:rsid w:val="007E5AD5"/>
    <w:rsid w:val="007E6DEA"/>
    <w:rsid w:val="007F3002"/>
    <w:rsid w:val="008017CF"/>
    <w:rsid w:val="008116BF"/>
    <w:rsid w:val="0081245C"/>
    <w:rsid w:val="00815589"/>
    <w:rsid w:val="00825BE8"/>
    <w:rsid w:val="0082760A"/>
    <w:rsid w:val="00831BCE"/>
    <w:rsid w:val="00832A62"/>
    <w:rsid w:val="0083743A"/>
    <w:rsid w:val="00837B31"/>
    <w:rsid w:val="0084247C"/>
    <w:rsid w:val="008424D6"/>
    <w:rsid w:val="00842E08"/>
    <w:rsid w:val="00843295"/>
    <w:rsid w:val="008456CF"/>
    <w:rsid w:val="008541A9"/>
    <w:rsid w:val="00854DFE"/>
    <w:rsid w:val="008656B1"/>
    <w:rsid w:val="008673FF"/>
    <w:rsid w:val="0087418C"/>
    <w:rsid w:val="0087439F"/>
    <w:rsid w:val="008745B9"/>
    <w:rsid w:val="0087688F"/>
    <w:rsid w:val="00881230"/>
    <w:rsid w:val="00891A1A"/>
    <w:rsid w:val="00891B7D"/>
    <w:rsid w:val="008A47EF"/>
    <w:rsid w:val="008B04E2"/>
    <w:rsid w:val="008B2251"/>
    <w:rsid w:val="008C2286"/>
    <w:rsid w:val="008C272F"/>
    <w:rsid w:val="008C7E68"/>
    <w:rsid w:val="008D3CD1"/>
    <w:rsid w:val="008D6B33"/>
    <w:rsid w:val="008E2787"/>
    <w:rsid w:val="008E3BB0"/>
    <w:rsid w:val="008E3F50"/>
    <w:rsid w:val="008F5653"/>
    <w:rsid w:val="00902959"/>
    <w:rsid w:val="00910732"/>
    <w:rsid w:val="009133F4"/>
    <w:rsid w:val="00922745"/>
    <w:rsid w:val="00922B44"/>
    <w:rsid w:val="00931F0D"/>
    <w:rsid w:val="00934D32"/>
    <w:rsid w:val="00944F6C"/>
    <w:rsid w:val="009469ED"/>
    <w:rsid w:val="009558F6"/>
    <w:rsid w:val="00957B15"/>
    <w:rsid w:val="009603F7"/>
    <w:rsid w:val="00993E20"/>
    <w:rsid w:val="00996287"/>
    <w:rsid w:val="0099776D"/>
    <w:rsid w:val="009A0B2C"/>
    <w:rsid w:val="009A0F26"/>
    <w:rsid w:val="009B025A"/>
    <w:rsid w:val="009B1F46"/>
    <w:rsid w:val="009B4161"/>
    <w:rsid w:val="009C3D3B"/>
    <w:rsid w:val="009D367F"/>
    <w:rsid w:val="009D5573"/>
    <w:rsid w:val="009E0BF1"/>
    <w:rsid w:val="009E4E69"/>
    <w:rsid w:val="009F5A6D"/>
    <w:rsid w:val="009F7422"/>
    <w:rsid w:val="009F79F9"/>
    <w:rsid w:val="00A040C9"/>
    <w:rsid w:val="00A114EE"/>
    <w:rsid w:val="00A148F9"/>
    <w:rsid w:val="00A3057F"/>
    <w:rsid w:val="00A31193"/>
    <w:rsid w:val="00A4173D"/>
    <w:rsid w:val="00A4730F"/>
    <w:rsid w:val="00A568CC"/>
    <w:rsid w:val="00A60713"/>
    <w:rsid w:val="00A64CB7"/>
    <w:rsid w:val="00A674E7"/>
    <w:rsid w:val="00A7242B"/>
    <w:rsid w:val="00A75B0F"/>
    <w:rsid w:val="00A76E3B"/>
    <w:rsid w:val="00A92DF6"/>
    <w:rsid w:val="00AA1433"/>
    <w:rsid w:val="00AA2068"/>
    <w:rsid w:val="00AA4482"/>
    <w:rsid w:val="00AB10DB"/>
    <w:rsid w:val="00AB4DA6"/>
    <w:rsid w:val="00AB7FB2"/>
    <w:rsid w:val="00AC77AA"/>
    <w:rsid w:val="00AE4E64"/>
    <w:rsid w:val="00AE6908"/>
    <w:rsid w:val="00B0263B"/>
    <w:rsid w:val="00B046FA"/>
    <w:rsid w:val="00B05EFA"/>
    <w:rsid w:val="00B07F45"/>
    <w:rsid w:val="00B10E99"/>
    <w:rsid w:val="00B162C5"/>
    <w:rsid w:val="00B1730E"/>
    <w:rsid w:val="00B23F3A"/>
    <w:rsid w:val="00B24BE7"/>
    <w:rsid w:val="00B30CB9"/>
    <w:rsid w:val="00B31E2A"/>
    <w:rsid w:val="00B538C2"/>
    <w:rsid w:val="00B54BDA"/>
    <w:rsid w:val="00B54E2D"/>
    <w:rsid w:val="00B56FA9"/>
    <w:rsid w:val="00B643B7"/>
    <w:rsid w:val="00B85B4D"/>
    <w:rsid w:val="00B85C5E"/>
    <w:rsid w:val="00B92FD6"/>
    <w:rsid w:val="00BA0512"/>
    <w:rsid w:val="00BA2002"/>
    <w:rsid w:val="00BB620A"/>
    <w:rsid w:val="00BC123B"/>
    <w:rsid w:val="00BC41DD"/>
    <w:rsid w:val="00BC7310"/>
    <w:rsid w:val="00BE6EEB"/>
    <w:rsid w:val="00BF4D9B"/>
    <w:rsid w:val="00C21C5C"/>
    <w:rsid w:val="00C22378"/>
    <w:rsid w:val="00C27075"/>
    <w:rsid w:val="00C27BE2"/>
    <w:rsid w:val="00C33CE3"/>
    <w:rsid w:val="00C36BCF"/>
    <w:rsid w:val="00C43868"/>
    <w:rsid w:val="00C7313F"/>
    <w:rsid w:val="00C74BB3"/>
    <w:rsid w:val="00C81052"/>
    <w:rsid w:val="00C85AC6"/>
    <w:rsid w:val="00C860A2"/>
    <w:rsid w:val="00C865A2"/>
    <w:rsid w:val="00CA2453"/>
    <w:rsid w:val="00CA46D7"/>
    <w:rsid w:val="00CA4C3D"/>
    <w:rsid w:val="00CB1F25"/>
    <w:rsid w:val="00CB5A6A"/>
    <w:rsid w:val="00CD18CD"/>
    <w:rsid w:val="00CD4B46"/>
    <w:rsid w:val="00CE04DE"/>
    <w:rsid w:val="00CE77D0"/>
    <w:rsid w:val="00CF3183"/>
    <w:rsid w:val="00D00231"/>
    <w:rsid w:val="00D0445F"/>
    <w:rsid w:val="00D104A7"/>
    <w:rsid w:val="00D10CA2"/>
    <w:rsid w:val="00D15C45"/>
    <w:rsid w:val="00D1730E"/>
    <w:rsid w:val="00D20755"/>
    <w:rsid w:val="00D23562"/>
    <w:rsid w:val="00D2428B"/>
    <w:rsid w:val="00D24B8C"/>
    <w:rsid w:val="00D25FDD"/>
    <w:rsid w:val="00D26908"/>
    <w:rsid w:val="00D32AEC"/>
    <w:rsid w:val="00D32E82"/>
    <w:rsid w:val="00D35573"/>
    <w:rsid w:val="00D56D40"/>
    <w:rsid w:val="00D6149F"/>
    <w:rsid w:val="00D629AC"/>
    <w:rsid w:val="00D675A4"/>
    <w:rsid w:val="00D74698"/>
    <w:rsid w:val="00DA2E5F"/>
    <w:rsid w:val="00DA56B9"/>
    <w:rsid w:val="00DB69CA"/>
    <w:rsid w:val="00DC1688"/>
    <w:rsid w:val="00DC31B6"/>
    <w:rsid w:val="00DD13A4"/>
    <w:rsid w:val="00DE23A0"/>
    <w:rsid w:val="00DE7F71"/>
    <w:rsid w:val="00E002C6"/>
    <w:rsid w:val="00E051D7"/>
    <w:rsid w:val="00E12C64"/>
    <w:rsid w:val="00E1538E"/>
    <w:rsid w:val="00E21266"/>
    <w:rsid w:val="00E329EC"/>
    <w:rsid w:val="00E37D42"/>
    <w:rsid w:val="00E37D78"/>
    <w:rsid w:val="00E43D96"/>
    <w:rsid w:val="00E5112F"/>
    <w:rsid w:val="00E539F7"/>
    <w:rsid w:val="00E569C3"/>
    <w:rsid w:val="00E57324"/>
    <w:rsid w:val="00E615FC"/>
    <w:rsid w:val="00E72E40"/>
    <w:rsid w:val="00E850E5"/>
    <w:rsid w:val="00E85184"/>
    <w:rsid w:val="00E862BC"/>
    <w:rsid w:val="00E8630A"/>
    <w:rsid w:val="00E95BE1"/>
    <w:rsid w:val="00E97574"/>
    <w:rsid w:val="00E97ADA"/>
    <w:rsid w:val="00EA0A42"/>
    <w:rsid w:val="00EA1B0D"/>
    <w:rsid w:val="00EB0427"/>
    <w:rsid w:val="00EB0557"/>
    <w:rsid w:val="00EB061E"/>
    <w:rsid w:val="00EB0DC4"/>
    <w:rsid w:val="00EB2DC5"/>
    <w:rsid w:val="00EC2697"/>
    <w:rsid w:val="00EC289A"/>
    <w:rsid w:val="00EC379A"/>
    <w:rsid w:val="00ED1929"/>
    <w:rsid w:val="00F078C5"/>
    <w:rsid w:val="00F17DFC"/>
    <w:rsid w:val="00F2018C"/>
    <w:rsid w:val="00F2556C"/>
    <w:rsid w:val="00F401DD"/>
    <w:rsid w:val="00F422A9"/>
    <w:rsid w:val="00F43A9D"/>
    <w:rsid w:val="00F44E58"/>
    <w:rsid w:val="00F56D6C"/>
    <w:rsid w:val="00F67395"/>
    <w:rsid w:val="00F73C66"/>
    <w:rsid w:val="00F7670E"/>
    <w:rsid w:val="00F776A1"/>
    <w:rsid w:val="00F849C9"/>
    <w:rsid w:val="00F86717"/>
    <w:rsid w:val="00F90A90"/>
    <w:rsid w:val="00FA1681"/>
    <w:rsid w:val="00FC41A3"/>
    <w:rsid w:val="00FC70C6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75E6"/>
  <w15:chartTrackingRefBased/>
  <w15:docId w15:val="{846FC3EE-EEBD-44EA-B59D-704E77BC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D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C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C731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731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C731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C7310"/>
    <w:rPr>
      <w:rFonts w:ascii="Calibri" w:hAnsi="Calibri" w:cs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52061A"/>
  </w:style>
  <w:style w:type="character" w:styleId="CommentReference">
    <w:name w:val="annotation reference"/>
    <w:basedOn w:val="DefaultParagraphFont"/>
    <w:uiPriority w:val="99"/>
    <w:semiHidden/>
    <w:unhideWhenUsed/>
    <w:rsid w:val="000E4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4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4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B8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3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6B9"/>
    <w:pPr>
      <w:ind w:left="720"/>
      <w:contextualSpacing/>
    </w:pPr>
  </w:style>
  <w:style w:type="paragraph" w:styleId="Revision">
    <w:name w:val="Revision"/>
    <w:hidden/>
    <w:uiPriority w:val="99"/>
    <w:semiHidden/>
    <w:rsid w:val="00865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epa.gov/assessing-and-managing-chemicals-under-tsca/polybrominated-diphenyl-ethers-pbd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8349-8A65-402A-B6BE-9DE8CB9A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1582</Words>
  <Characters>9020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Sjodin, Andreas (CDC/ONDIEH/NCEH)</dc:creator>
  <cp:keywords/>
  <dc:description/>
  <cp:lastModifiedBy>Sjodin, Andreas (CDC/DDNID/NCEH/DLS)</cp:lastModifiedBy>
  <cp:revision>2</cp:revision>
  <cp:lastPrinted>2019-04-23T13:52:00Z</cp:lastPrinted>
  <dcterms:created xsi:type="dcterms:W3CDTF">2020-06-02T17:51:00Z</dcterms:created>
  <dcterms:modified xsi:type="dcterms:W3CDTF">2020-06-02T17:51:00Z</dcterms:modified>
</cp:coreProperties>
</file>