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949A" w14:textId="4C530A08" w:rsidR="00583FB4" w:rsidRPr="004F4FFC" w:rsidRDefault="00583FB4" w:rsidP="00583FB4">
      <w:pPr>
        <w:rPr>
          <w:rFonts w:ascii="Calibri" w:hAnsi="Calibri" w:cs="Arial"/>
          <w:color w:val="000000" w:themeColor="text1"/>
          <w:sz w:val="24"/>
          <w:szCs w:val="24"/>
        </w:rPr>
      </w:pPr>
      <w:r w:rsidRPr="004F4FFC">
        <w:rPr>
          <w:rFonts w:ascii="Calibri" w:hAnsi="Calibri" w:cs="Arial"/>
          <w:color w:val="000000" w:themeColor="text1"/>
          <w:sz w:val="24"/>
          <w:szCs w:val="24"/>
        </w:rPr>
        <w:t>Supplementary Appendix for the article: “</w:t>
      </w:r>
      <w:r w:rsidR="00A522E6" w:rsidRPr="004F4FFC">
        <w:rPr>
          <w:rFonts w:ascii="Calibri" w:hAnsi="Calibri" w:cs="Arial"/>
          <w:color w:val="000000" w:themeColor="text1"/>
          <w:sz w:val="24"/>
          <w:szCs w:val="24"/>
        </w:rPr>
        <w:t>Sociodemographic factors and social determinants associated with toxicology confirmed polysubstance opioid-related deaths</w:t>
      </w:r>
      <w:r w:rsidRPr="004F4FFC">
        <w:rPr>
          <w:rFonts w:ascii="Calibri" w:hAnsi="Calibri" w:cs="Arial"/>
          <w:color w:val="000000" w:themeColor="text1"/>
          <w:sz w:val="24"/>
          <w:szCs w:val="24"/>
        </w:rPr>
        <w:t>”</w:t>
      </w:r>
    </w:p>
    <w:p w14:paraId="65F95647" w14:textId="77777777" w:rsidR="00583FB4" w:rsidRPr="004F4FFC" w:rsidRDefault="00583FB4" w:rsidP="00583FB4">
      <w:pPr>
        <w:rPr>
          <w:rFonts w:ascii="Calibri" w:hAnsi="Calibri" w:cs="Arial"/>
          <w:color w:val="000000" w:themeColor="text1"/>
          <w:sz w:val="24"/>
          <w:szCs w:val="24"/>
        </w:rPr>
      </w:pPr>
    </w:p>
    <w:p w14:paraId="0070EA72" w14:textId="77777777" w:rsidR="00583FB4" w:rsidRPr="004F4FFC" w:rsidRDefault="00583FB4" w:rsidP="00583FB4">
      <w:pPr>
        <w:rPr>
          <w:rFonts w:ascii="Calibri" w:hAnsi="Calibri" w:cs="Arial"/>
          <w:sz w:val="24"/>
          <w:szCs w:val="24"/>
          <w:vertAlign w:val="superscript"/>
        </w:rPr>
      </w:pPr>
      <w:r w:rsidRPr="004F4FFC">
        <w:rPr>
          <w:rFonts w:ascii="Calibri" w:hAnsi="Calibri" w:cs="Arial"/>
          <w:b/>
          <w:sz w:val="24"/>
          <w:szCs w:val="24"/>
        </w:rPr>
        <w:t xml:space="preserve">Authors: </w:t>
      </w:r>
      <w:r w:rsidRPr="004F4FFC">
        <w:rPr>
          <w:rFonts w:ascii="Calibri" w:hAnsi="Calibri" w:cs="Arial"/>
          <w:sz w:val="24"/>
          <w:szCs w:val="24"/>
        </w:rPr>
        <w:t xml:space="preserve">Joshua A. Barocas, </w:t>
      </w:r>
      <w:proofErr w:type="spellStart"/>
      <w:r w:rsidRPr="004F4FFC">
        <w:rPr>
          <w:rFonts w:ascii="Calibri" w:hAnsi="Calibri" w:cs="Arial"/>
          <w:sz w:val="24"/>
          <w:szCs w:val="24"/>
        </w:rPr>
        <w:t>MD</w:t>
      </w:r>
      <w:r w:rsidRPr="004F4FFC">
        <w:rPr>
          <w:rFonts w:ascii="Calibri" w:hAnsi="Calibri" w:cs="Arial"/>
          <w:sz w:val="24"/>
          <w:szCs w:val="24"/>
          <w:vertAlign w:val="superscript"/>
        </w:rPr>
        <w:t>a,b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F4FFC">
        <w:rPr>
          <w:rFonts w:ascii="Calibri" w:hAnsi="Calibri" w:cs="Arial"/>
          <w:sz w:val="24"/>
          <w:szCs w:val="24"/>
        </w:rPr>
        <w:t>Jianing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 Wang, </w:t>
      </w:r>
      <w:proofErr w:type="spellStart"/>
      <w:r w:rsidRPr="004F4FFC">
        <w:rPr>
          <w:rFonts w:ascii="Calibri" w:hAnsi="Calibri" w:cs="Arial"/>
          <w:sz w:val="24"/>
          <w:szCs w:val="24"/>
        </w:rPr>
        <w:t>MSc</w:t>
      </w:r>
      <w:r w:rsidRPr="004F4FFC">
        <w:rPr>
          <w:rFonts w:ascii="Calibri" w:hAnsi="Calibri" w:cs="Arial"/>
          <w:sz w:val="24"/>
          <w:szCs w:val="24"/>
          <w:vertAlign w:val="superscript"/>
        </w:rPr>
        <w:t>a,b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Brandon D.L. Marshall, </w:t>
      </w:r>
      <w:proofErr w:type="spellStart"/>
      <w:r w:rsidRPr="004F4FFC">
        <w:rPr>
          <w:rFonts w:ascii="Calibri" w:hAnsi="Calibri" w:cs="Arial"/>
          <w:sz w:val="24"/>
          <w:szCs w:val="24"/>
        </w:rPr>
        <w:t>PhD</w:t>
      </w:r>
      <w:r w:rsidRPr="004F4FFC">
        <w:rPr>
          <w:rFonts w:ascii="Calibri" w:hAnsi="Calibri" w:cs="Arial"/>
          <w:sz w:val="24"/>
          <w:szCs w:val="24"/>
          <w:vertAlign w:val="superscript"/>
        </w:rPr>
        <w:t>c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Marc R. LaRochelle, </w:t>
      </w:r>
      <w:proofErr w:type="spellStart"/>
      <w:r w:rsidRPr="004F4FFC">
        <w:rPr>
          <w:rFonts w:ascii="Calibri" w:hAnsi="Calibri" w:cs="Arial"/>
          <w:sz w:val="24"/>
          <w:szCs w:val="24"/>
        </w:rPr>
        <w:t>MD</w:t>
      </w:r>
      <w:r w:rsidRPr="004F4FFC">
        <w:rPr>
          <w:rFonts w:ascii="Calibri" w:hAnsi="Calibri" w:cs="Arial"/>
          <w:sz w:val="24"/>
          <w:szCs w:val="24"/>
          <w:vertAlign w:val="superscript"/>
        </w:rPr>
        <w:t>d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Amy </w:t>
      </w:r>
      <w:proofErr w:type="spellStart"/>
      <w:r w:rsidRPr="004F4FFC">
        <w:rPr>
          <w:rFonts w:ascii="Calibri" w:hAnsi="Calibri" w:cs="Arial"/>
          <w:sz w:val="24"/>
          <w:szCs w:val="24"/>
        </w:rPr>
        <w:t>Bettano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F4FFC">
        <w:rPr>
          <w:rFonts w:ascii="Calibri" w:hAnsi="Calibri" w:cs="Arial"/>
          <w:sz w:val="24"/>
          <w:szCs w:val="24"/>
        </w:rPr>
        <w:t>MPH</w:t>
      </w:r>
      <w:r w:rsidRPr="004F4FFC">
        <w:rPr>
          <w:rFonts w:ascii="Calibri" w:hAnsi="Calibri" w:cs="Arial"/>
          <w:sz w:val="24"/>
          <w:szCs w:val="24"/>
          <w:vertAlign w:val="superscript"/>
        </w:rPr>
        <w:t>e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Dana </w:t>
      </w:r>
      <w:proofErr w:type="spellStart"/>
      <w:r w:rsidRPr="004F4FFC">
        <w:rPr>
          <w:rFonts w:ascii="Calibri" w:hAnsi="Calibri" w:cs="Arial"/>
          <w:sz w:val="24"/>
          <w:szCs w:val="24"/>
        </w:rPr>
        <w:t>Bernson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F4FFC">
        <w:rPr>
          <w:rFonts w:ascii="Calibri" w:hAnsi="Calibri" w:cs="Arial"/>
          <w:sz w:val="24"/>
          <w:szCs w:val="24"/>
        </w:rPr>
        <w:t>MPH</w:t>
      </w:r>
      <w:r w:rsidRPr="004F4FFC">
        <w:rPr>
          <w:rFonts w:ascii="Calibri" w:hAnsi="Calibri" w:cs="Arial"/>
          <w:sz w:val="24"/>
          <w:szCs w:val="24"/>
          <w:vertAlign w:val="superscript"/>
        </w:rPr>
        <w:t>e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Curt G. Beckwith, </w:t>
      </w:r>
      <w:proofErr w:type="spellStart"/>
      <w:r w:rsidRPr="004F4FFC">
        <w:rPr>
          <w:rFonts w:ascii="Calibri" w:hAnsi="Calibri" w:cs="Arial"/>
          <w:sz w:val="24"/>
          <w:szCs w:val="24"/>
        </w:rPr>
        <w:t>MD</w:t>
      </w:r>
      <w:r w:rsidRPr="004F4FFC">
        <w:rPr>
          <w:rFonts w:ascii="Calibri" w:hAnsi="Calibri" w:cs="Arial"/>
          <w:sz w:val="24"/>
          <w:szCs w:val="24"/>
          <w:vertAlign w:val="superscript"/>
        </w:rPr>
        <w:t>f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Benjamin P. </w:t>
      </w:r>
      <w:proofErr w:type="spellStart"/>
      <w:r w:rsidRPr="004F4FFC">
        <w:rPr>
          <w:rFonts w:ascii="Calibri" w:hAnsi="Calibri" w:cs="Arial"/>
          <w:sz w:val="24"/>
          <w:szCs w:val="24"/>
        </w:rPr>
        <w:t>Linas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MD, </w:t>
      </w:r>
      <w:proofErr w:type="spellStart"/>
      <w:r w:rsidRPr="004F4FFC">
        <w:rPr>
          <w:rFonts w:ascii="Calibri" w:hAnsi="Calibri" w:cs="Arial"/>
          <w:sz w:val="24"/>
          <w:szCs w:val="24"/>
        </w:rPr>
        <w:t>MPH</w:t>
      </w:r>
      <w:r w:rsidRPr="004F4FFC">
        <w:rPr>
          <w:rFonts w:ascii="Calibri" w:hAnsi="Calibri" w:cs="Arial"/>
          <w:sz w:val="24"/>
          <w:szCs w:val="24"/>
          <w:vertAlign w:val="superscript"/>
        </w:rPr>
        <w:t>a,b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, Alexander Y. Walley, MD, </w:t>
      </w:r>
      <w:proofErr w:type="spellStart"/>
      <w:r w:rsidRPr="004F4FFC">
        <w:rPr>
          <w:rFonts w:ascii="Calibri" w:hAnsi="Calibri" w:cs="Arial"/>
          <w:sz w:val="24"/>
          <w:szCs w:val="24"/>
        </w:rPr>
        <w:t>MSc</w:t>
      </w:r>
      <w:r w:rsidRPr="004F4FFC">
        <w:rPr>
          <w:rFonts w:ascii="Calibri" w:hAnsi="Calibri" w:cs="Arial"/>
          <w:sz w:val="24"/>
          <w:szCs w:val="24"/>
          <w:vertAlign w:val="superscript"/>
        </w:rPr>
        <w:t>d</w:t>
      </w:r>
      <w:proofErr w:type="spellEnd"/>
    </w:p>
    <w:p w14:paraId="06DEB949" w14:textId="77777777" w:rsidR="00583FB4" w:rsidRPr="004F4FFC" w:rsidRDefault="00583FB4" w:rsidP="00583FB4">
      <w:pPr>
        <w:rPr>
          <w:rFonts w:ascii="Calibri" w:hAnsi="Calibri" w:cs="Arial"/>
          <w:b/>
          <w:sz w:val="24"/>
          <w:szCs w:val="24"/>
        </w:rPr>
      </w:pPr>
    </w:p>
    <w:p w14:paraId="2976DCE5" w14:textId="77777777" w:rsidR="00583FB4" w:rsidRPr="004F4FFC" w:rsidRDefault="00583FB4" w:rsidP="00583FB4">
      <w:pPr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b/>
          <w:sz w:val="24"/>
          <w:szCs w:val="24"/>
        </w:rPr>
        <w:t xml:space="preserve">Affiliations: </w:t>
      </w:r>
      <w:proofErr w:type="spellStart"/>
      <w:r w:rsidRPr="004F4FFC">
        <w:rPr>
          <w:rFonts w:ascii="Calibri" w:hAnsi="Calibri" w:cs="Arial"/>
          <w:sz w:val="24"/>
          <w:szCs w:val="24"/>
          <w:vertAlign w:val="superscript"/>
        </w:rPr>
        <w:t>a</w:t>
      </w:r>
      <w:r w:rsidRPr="004F4FFC">
        <w:rPr>
          <w:rFonts w:ascii="Calibri" w:hAnsi="Calibri" w:cs="Arial"/>
          <w:sz w:val="24"/>
          <w:szCs w:val="24"/>
        </w:rPr>
        <w:t>Division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 of Infectious Diseases, Boston Medical Center (BMC), 801 Massachusetts Ave, 2</w:t>
      </w:r>
      <w:r w:rsidRPr="004F4FFC">
        <w:rPr>
          <w:rFonts w:ascii="Calibri" w:hAnsi="Calibri" w:cs="Arial"/>
          <w:sz w:val="24"/>
          <w:szCs w:val="24"/>
          <w:vertAlign w:val="superscript"/>
        </w:rPr>
        <w:t>nd</w:t>
      </w:r>
      <w:r w:rsidRPr="004F4FFC">
        <w:rPr>
          <w:rFonts w:ascii="Calibri" w:hAnsi="Calibri" w:cs="Arial"/>
          <w:sz w:val="24"/>
          <w:szCs w:val="24"/>
        </w:rPr>
        <w:t xml:space="preserve"> Floor, Boston, MA, USA, 02118; </w:t>
      </w:r>
      <w:proofErr w:type="spellStart"/>
      <w:r w:rsidRPr="004F4FFC">
        <w:rPr>
          <w:rFonts w:ascii="Calibri" w:hAnsi="Calibri" w:cs="Arial"/>
          <w:sz w:val="24"/>
          <w:szCs w:val="24"/>
          <w:vertAlign w:val="superscript"/>
        </w:rPr>
        <w:t>b</w:t>
      </w:r>
      <w:r w:rsidRPr="004F4FFC">
        <w:rPr>
          <w:rFonts w:ascii="Calibri" w:hAnsi="Calibri" w:cs="Arial"/>
          <w:sz w:val="24"/>
          <w:szCs w:val="24"/>
        </w:rPr>
        <w:t>Boston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 University School of Medicine, 801 Massachusetts Ave, 2</w:t>
      </w:r>
      <w:r w:rsidRPr="004F4FFC">
        <w:rPr>
          <w:rFonts w:ascii="Calibri" w:hAnsi="Calibri" w:cs="Arial"/>
          <w:sz w:val="24"/>
          <w:szCs w:val="24"/>
          <w:vertAlign w:val="superscript"/>
        </w:rPr>
        <w:t>nd</w:t>
      </w:r>
      <w:r w:rsidRPr="004F4FFC">
        <w:rPr>
          <w:rFonts w:ascii="Calibri" w:hAnsi="Calibri" w:cs="Arial"/>
          <w:sz w:val="24"/>
          <w:szCs w:val="24"/>
        </w:rPr>
        <w:t xml:space="preserve"> Floor, Boston, MA, USA, 02118;</w:t>
      </w:r>
      <w:r w:rsidRPr="004F4FFC">
        <w:rPr>
          <w:rFonts w:ascii="Calibri" w:hAnsi="Calibri" w:cs="Arial"/>
          <w:sz w:val="24"/>
          <w:szCs w:val="24"/>
          <w:vertAlign w:val="superscript"/>
        </w:rPr>
        <w:t>c</w:t>
      </w:r>
      <w:r w:rsidRPr="004F4FFC">
        <w:rPr>
          <w:rFonts w:ascii="Calibri" w:hAnsi="Calibri" w:cs="Arial"/>
          <w:sz w:val="24"/>
          <w:szCs w:val="24"/>
        </w:rPr>
        <w:t xml:space="preserve"> Department of Epidemiology, Brown University School of Public Health, 121 South Main Street, Room 208</w:t>
      </w:r>
    </w:p>
    <w:p w14:paraId="50050516" w14:textId="77777777" w:rsidR="00583FB4" w:rsidRPr="004F4FFC" w:rsidRDefault="00583FB4" w:rsidP="00583FB4">
      <w:pPr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 xml:space="preserve">Box G-S121-2, Providence, RI 02912, </w:t>
      </w:r>
      <w:r w:rsidRPr="004F4FFC">
        <w:rPr>
          <w:rFonts w:ascii="Calibri" w:hAnsi="Calibri" w:cs="Arial"/>
          <w:sz w:val="24"/>
          <w:szCs w:val="24"/>
          <w:vertAlign w:val="superscript"/>
        </w:rPr>
        <w:t>d</w:t>
      </w:r>
      <w:r w:rsidRPr="004F4FFC">
        <w:rPr>
          <w:rFonts w:ascii="Calibri" w:hAnsi="Calibri" w:cs="Arial"/>
          <w:sz w:val="24"/>
          <w:szCs w:val="24"/>
        </w:rPr>
        <w:t xml:space="preserve"> Clinical Addiction Research and Education Unit, Section of General Internal Medicine, Department of Medicine, Boston University School of Medicine and Boston Medical Center, 801 Massachusetts Ave, 2</w:t>
      </w:r>
      <w:r w:rsidRPr="004F4FFC">
        <w:rPr>
          <w:rFonts w:ascii="Calibri" w:hAnsi="Calibri" w:cs="Arial"/>
          <w:sz w:val="24"/>
          <w:szCs w:val="24"/>
          <w:vertAlign w:val="superscript"/>
        </w:rPr>
        <w:t>nd</w:t>
      </w:r>
      <w:r w:rsidRPr="004F4FFC">
        <w:rPr>
          <w:rFonts w:ascii="Calibri" w:hAnsi="Calibri" w:cs="Arial"/>
          <w:sz w:val="24"/>
          <w:szCs w:val="24"/>
        </w:rPr>
        <w:t xml:space="preserve"> Floor, Boston, MA, USA, 02118, </w:t>
      </w:r>
      <w:proofErr w:type="spellStart"/>
      <w:r w:rsidRPr="004F4FFC">
        <w:rPr>
          <w:rFonts w:ascii="Calibri" w:hAnsi="Calibri" w:cs="Arial"/>
          <w:sz w:val="24"/>
          <w:szCs w:val="24"/>
          <w:vertAlign w:val="superscript"/>
        </w:rPr>
        <w:t>e</w:t>
      </w:r>
      <w:r w:rsidRPr="004F4FFC">
        <w:rPr>
          <w:rFonts w:ascii="Calibri" w:hAnsi="Calibri" w:cs="Arial"/>
          <w:sz w:val="24"/>
          <w:szCs w:val="24"/>
        </w:rPr>
        <w:t>Massachusetts</w:t>
      </w:r>
      <w:proofErr w:type="spellEnd"/>
      <w:r w:rsidRPr="004F4FFC">
        <w:rPr>
          <w:rFonts w:ascii="Calibri" w:hAnsi="Calibri" w:cs="Arial"/>
          <w:sz w:val="24"/>
          <w:szCs w:val="24"/>
        </w:rPr>
        <w:t xml:space="preserve"> Department of Public Health, 250 Washington Street, 6th Floor, Boston, MA, 02108, </w:t>
      </w:r>
      <w:r w:rsidRPr="004F4FFC">
        <w:rPr>
          <w:rFonts w:ascii="Calibri" w:hAnsi="Calibri" w:cs="Arial"/>
          <w:sz w:val="24"/>
          <w:szCs w:val="24"/>
          <w:vertAlign w:val="superscript"/>
        </w:rPr>
        <w:t>f</w:t>
      </w:r>
      <w:r w:rsidRPr="004F4FFC">
        <w:rPr>
          <w:rFonts w:ascii="Calibri" w:hAnsi="Calibri" w:cs="Arial"/>
          <w:sz w:val="24"/>
          <w:szCs w:val="24"/>
        </w:rPr>
        <w:t xml:space="preserve"> Division of Infectious Diseases, Alpert Medical School of Brown University and the Miriam Hospital, 1125 N Main St, Providence, RI 02906</w:t>
      </w:r>
    </w:p>
    <w:p w14:paraId="015C217F" w14:textId="77777777" w:rsidR="00583FB4" w:rsidRPr="004F4FFC" w:rsidRDefault="00583FB4" w:rsidP="00583FB4">
      <w:pPr>
        <w:contextualSpacing/>
        <w:rPr>
          <w:rFonts w:ascii="Calibri" w:hAnsi="Calibri" w:cs="Arial"/>
          <w:b/>
          <w:sz w:val="24"/>
          <w:szCs w:val="24"/>
        </w:rPr>
      </w:pPr>
    </w:p>
    <w:p w14:paraId="61C9914F" w14:textId="7685AD74" w:rsidR="00583FB4" w:rsidRPr="004F4FFC" w:rsidRDefault="00583FB4" w:rsidP="00583FB4">
      <w:pPr>
        <w:contextualSpacing/>
        <w:rPr>
          <w:rFonts w:ascii="Calibri" w:hAnsi="Calibri" w:cs="Arial"/>
          <w:b/>
          <w:sz w:val="24"/>
          <w:szCs w:val="24"/>
        </w:rPr>
      </w:pPr>
      <w:r w:rsidRPr="004F4FFC">
        <w:rPr>
          <w:rFonts w:ascii="Calibri" w:hAnsi="Calibri" w:cs="Arial"/>
          <w:b/>
          <w:sz w:val="24"/>
          <w:szCs w:val="24"/>
        </w:rPr>
        <w:t>Corresponding author:</w:t>
      </w:r>
    </w:p>
    <w:p w14:paraId="0CD8615D" w14:textId="77777777" w:rsidR="00583FB4" w:rsidRPr="004F4FFC" w:rsidRDefault="00583FB4" w:rsidP="00583FB4">
      <w:pPr>
        <w:contextualSpacing/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>Joshua A. Barocas, MD</w:t>
      </w:r>
    </w:p>
    <w:p w14:paraId="641BE235" w14:textId="77777777" w:rsidR="00583FB4" w:rsidRPr="004F4FFC" w:rsidRDefault="00583FB4" w:rsidP="00583FB4">
      <w:pPr>
        <w:contextualSpacing/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>Boston University Medical Campus</w:t>
      </w:r>
    </w:p>
    <w:p w14:paraId="1CC1F8A7" w14:textId="77777777" w:rsidR="00583FB4" w:rsidRPr="004F4FFC" w:rsidRDefault="00583FB4" w:rsidP="00583FB4">
      <w:pPr>
        <w:contextualSpacing/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>801 Massachusetts Ave, 2</w:t>
      </w:r>
      <w:r w:rsidRPr="004F4FFC">
        <w:rPr>
          <w:rFonts w:ascii="Calibri" w:hAnsi="Calibri" w:cs="Arial"/>
          <w:sz w:val="24"/>
          <w:szCs w:val="24"/>
          <w:vertAlign w:val="superscript"/>
        </w:rPr>
        <w:t>nd</w:t>
      </w:r>
      <w:r w:rsidRPr="004F4FFC">
        <w:rPr>
          <w:rFonts w:ascii="Calibri" w:hAnsi="Calibri" w:cs="Arial"/>
          <w:sz w:val="24"/>
          <w:szCs w:val="24"/>
        </w:rPr>
        <w:t xml:space="preserve"> Floor</w:t>
      </w:r>
    </w:p>
    <w:p w14:paraId="586CD9A3" w14:textId="77777777" w:rsidR="00583FB4" w:rsidRPr="004F4FFC" w:rsidRDefault="00583FB4" w:rsidP="00583FB4">
      <w:pPr>
        <w:contextualSpacing/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>Boston, MA, 02131</w:t>
      </w:r>
    </w:p>
    <w:p w14:paraId="62E61A2E" w14:textId="77777777" w:rsidR="00583FB4" w:rsidRPr="004F4FFC" w:rsidRDefault="00C5093B" w:rsidP="00583FB4">
      <w:pPr>
        <w:contextualSpacing/>
        <w:rPr>
          <w:rStyle w:val="Hyperlink"/>
          <w:rFonts w:ascii="Calibri" w:hAnsi="Calibri" w:cs="Arial"/>
          <w:color w:val="000000" w:themeColor="text1"/>
          <w:sz w:val="24"/>
          <w:szCs w:val="24"/>
        </w:rPr>
      </w:pPr>
      <w:hyperlink r:id="rId4" w:history="1">
        <w:r w:rsidR="00583FB4" w:rsidRPr="004F4FFC">
          <w:rPr>
            <w:rStyle w:val="Hyperlink"/>
            <w:rFonts w:ascii="Calibri" w:hAnsi="Calibri" w:cs="Arial"/>
            <w:sz w:val="24"/>
            <w:szCs w:val="24"/>
          </w:rPr>
          <w:t>Joshua.Barocas@BMC.org</w:t>
        </w:r>
      </w:hyperlink>
    </w:p>
    <w:p w14:paraId="21CE3FC3" w14:textId="77777777" w:rsidR="00583FB4" w:rsidRPr="000D3C58" w:rsidRDefault="00583FB4" w:rsidP="00583FB4">
      <w:pPr>
        <w:spacing w:line="480" w:lineRule="auto"/>
        <w:rPr>
          <w:rFonts w:ascii="Arial" w:hAnsi="Arial" w:cs="Arial"/>
          <w:color w:val="000000" w:themeColor="text1"/>
        </w:rPr>
      </w:pPr>
    </w:p>
    <w:p w14:paraId="30A037D7" w14:textId="467DBD68" w:rsidR="00583FB4" w:rsidRDefault="00583FB4">
      <w:pPr>
        <w:spacing w:after="0"/>
      </w:pPr>
      <w:r>
        <w:br w:type="page"/>
      </w:r>
    </w:p>
    <w:p w14:paraId="67709BE4" w14:textId="3547D228" w:rsidR="0059306F" w:rsidRPr="004F4FFC" w:rsidRDefault="0059306F">
      <w:pPr>
        <w:spacing w:after="0"/>
        <w:rPr>
          <w:rFonts w:ascii="Calibri" w:hAnsi="Calibri" w:cs="Arial"/>
          <w:b/>
          <w:sz w:val="24"/>
          <w:szCs w:val="24"/>
        </w:rPr>
      </w:pPr>
      <w:r w:rsidRPr="004F4FFC">
        <w:rPr>
          <w:rFonts w:ascii="Calibri" w:hAnsi="Calibri" w:cs="Arial"/>
          <w:b/>
          <w:sz w:val="24"/>
          <w:szCs w:val="24"/>
        </w:rPr>
        <w:lastRenderedPageBreak/>
        <w:t>Substances in toxicology by group:</w:t>
      </w:r>
    </w:p>
    <w:p w14:paraId="1F562359" w14:textId="77777777" w:rsidR="0059306F" w:rsidRPr="004F4FFC" w:rsidRDefault="0059306F">
      <w:pPr>
        <w:spacing w:after="0"/>
        <w:rPr>
          <w:rFonts w:ascii="Calibri" w:hAnsi="Calibri" w:cs="Arial"/>
          <w:b/>
          <w:sz w:val="24"/>
          <w:szCs w:val="24"/>
        </w:rPr>
      </w:pPr>
    </w:p>
    <w:p w14:paraId="14F40E99" w14:textId="77777777" w:rsidR="0059306F" w:rsidRDefault="0059306F">
      <w:pPr>
        <w:spacing w:after="0"/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>1. Opioid toxicology assays included opiates, fentanyl and fentanyl analogs, tramadol, heroin, hydrocodone, morphine, oxycodone, codeine, hydromorphone, or oxymorphone</w:t>
      </w:r>
    </w:p>
    <w:p w14:paraId="0CD525A7" w14:textId="79AF2558" w:rsidR="00CC22FB" w:rsidRDefault="00CC22FB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a. illicit opioids = fentanyl and heroin</w:t>
      </w:r>
    </w:p>
    <w:p w14:paraId="368A7B76" w14:textId="5594315C" w:rsidR="00CC22FB" w:rsidRDefault="00CC22FB" w:rsidP="00CC22FB">
      <w:pPr>
        <w:spacing w:after="0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b. prescription opioids = opiates, tramadol, hydrocodone, morphine, oxycodone, codeine, </w:t>
      </w:r>
      <w:r w:rsidRPr="004F4FFC">
        <w:rPr>
          <w:rFonts w:ascii="Calibri" w:hAnsi="Calibri" w:cs="Arial"/>
          <w:sz w:val="24"/>
          <w:szCs w:val="24"/>
        </w:rPr>
        <w:t>hydromorphone, or oxymorphone</w:t>
      </w:r>
    </w:p>
    <w:p w14:paraId="31366A45" w14:textId="2802F395" w:rsidR="00B52394" w:rsidRDefault="00B52394" w:rsidP="00CC22FB">
      <w:pPr>
        <w:spacing w:after="0"/>
        <w:ind w:left="720"/>
        <w:rPr>
          <w:rFonts w:ascii="Calibri" w:hAnsi="Calibri" w:cs="Arial"/>
          <w:sz w:val="24"/>
          <w:szCs w:val="24"/>
        </w:rPr>
      </w:pPr>
      <w:r w:rsidRPr="00B52394">
        <w:rPr>
          <w:rFonts w:ascii="Calibri" w:hAnsi="Calibri" w:cs="Arial"/>
          <w:sz w:val="24"/>
          <w:szCs w:val="24"/>
        </w:rPr>
        <w:t>c. opiates = uncharacterized opioid</w:t>
      </w:r>
    </w:p>
    <w:p w14:paraId="7531EBD5" w14:textId="17314DE2" w:rsidR="00DE1ED9" w:rsidRDefault="00DE1ED9" w:rsidP="00DE1ED9">
      <w:pPr>
        <w:spacing w:after="0"/>
        <w:rPr>
          <w:rFonts w:ascii="Calibri" w:hAnsi="Calibri" w:cs="Arial"/>
          <w:sz w:val="24"/>
          <w:szCs w:val="24"/>
        </w:rPr>
      </w:pPr>
    </w:p>
    <w:p w14:paraId="5985822F" w14:textId="71A23ABF" w:rsidR="00DE1ED9" w:rsidRPr="004F4FFC" w:rsidRDefault="00DE1ED9" w:rsidP="00DE1ED9">
      <w:pPr>
        <w:spacing w:after="0"/>
        <w:rPr>
          <w:rFonts w:ascii="Calibri" w:hAnsi="Calibri" w:cs="Arial"/>
          <w:sz w:val="24"/>
          <w:szCs w:val="24"/>
        </w:rPr>
      </w:pPr>
      <w:r w:rsidRPr="00DE1ED9">
        <w:rPr>
          <w:rFonts w:ascii="Calibri" w:hAnsi="Calibri" w:cs="Arial"/>
          <w:sz w:val="24"/>
          <w:szCs w:val="24"/>
        </w:rPr>
        <w:t xml:space="preserve">The toxicology testing was conducted by either the Massachusetts State Police Laboratory or sent out to NMS Labs (www.nmslabs.com).  Both labs ran routine substance-specific gas </w:t>
      </w:r>
      <w:r w:rsidR="00CD20A5" w:rsidRPr="00DE1ED9">
        <w:rPr>
          <w:rFonts w:ascii="Calibri" w:hAnsi="Calibri" w:cs="Arial"/>
          <w:sz w:val="24"/>
          <w:szCs w:val="24"/>
        </w:rPr>
        <w:t>chromatography</w:t>
      </w:r>
      <w:r w:rsidRPr="00DE1ED9">
        <w:rPr>
          <w:rFonts w:ascii="Calibri" w:hAnsi="Calibri" w:cs="Arial"/>
          <w:sz w:val="24"/>
          <w:szCs w:val="24"/>
        </w:rPr>
        <w:t xml:space="preserve"> mass spectroscopy testing for codeine, hydrocodone, hydromorphone, morphine, oxycodone, and tramadol. We categorized samples that had a combination of morphine and codeine in the same sample as “heroin.” Whereas those with morphine, but no codeine, were categorized as “morphine”</w:t>
      </w:r>
      <w:r w:rsidR="00A00583">
        <w:rPr>
          <w:rFonts w:ascii="Calibri" w:hAnsi="Calibri" w:cs="Arial"/>
          <w:sz w:val="24"/>
          <w:szCs w:val="24"/>
        </w:rPr>
        <w:t xml:space="preserve"> </w:t>
      </w:r>
      <w:r w:rsidR="00A00583">
        <w:rPr>
          <w:rFonts w:ascii="Calibri" w:hAnsi="Calibri" w:cs="Arial"/>
          <w:sz w:val="24"/>
          <w:szCs w:val="24"/>
        </w:rPr>
        <w:fldChar w:fldCharType="begin"/>
      </w:r>
      <w:r w:rsidR="00A00583">
        <w:rPr>
          <w:rFonts w:ascii="Calibri" w:hAnsi="Calibri" w:cs="Arial"/>
          <w:sz w:val="24"/>
          <w:szCs w:val="24"/>
        </w:rPr>
        <w:instrText xml:space="preserve"> ADDIN EN.CITE &lt;EndNote&gt;&lt;Cite&gt;&lt;Author&gt;Harruff&lt;/Author&gt;&lt;Year&gt;2015&lt;/Year&gt;&lt;RecNum&gt;506&lt;/RecNum&gt;&lt;DisplayText&gt;(Harruff, Couper, &amp;amp; Banta-Green, 2015)&lt;/DisplayText&gt;&lt;record&gt;&lt;rec-number&gt;506&lt;/rec-number&gt;&lt;foreign-keys&gt;&lt;key app="EN" db-id="2rv9d09z5etsz4er0aap9svsz2dxxdwvd2ax" timestamp="1551190838" guid="29bbe925-9d9f-45a6-88e2-d4313dca7feb"&gt;506&lt;/key&gt;&lt;/foreign-keys&gt;&lt;ref-type name="Journal Article"&gt;17&lt;/ref-type&gt;&lt;contributors&gt;&lt;authors&gt;&lt;author&gt;Harruff, Richard C.&lt;/author&gt;&lt;author&gt;Couper, Fiona J.&lt;/author&gt;&lt;author&gt;Banta-Green, Caleb J.&lt;/author&gt;&lt;/authors&gt;&lt;/contributors&gt;&lt;titles&gt;&lt;title&gt;Tracking the Opioid Drug Overdose Epidemic in King County, Washington Using an Improved Methodology for Certifying Heroin Related Deaths&lt;/title&gt;&lt;/titles&gt;&lt;pages&gt;499-506&lt;/pages&gt;&lt;volume&gt;5&lt;/volume&gt;&lt;number&gt;3&lt;/number&gt;&lt;keywords&gt;&lt;keyword&gt;Forensic pathology,Toxicology,Drug overdose,Heroin,Opioid,Opiate,Death certification,Surveillance,Public health&lt;/keyword&gt;&lt;/keywords&gt;&lt;dates&gt;&lt;year&gt;2015&lt;/year&gt;&lt;/dates&gt;&lt;urls&gt;&lt;related-urls&gt;&lt;url&gt;https://journals.sagepub.com/doi/abs/10.23907/2015.055&lt;/url&gt;&lt;/related-urls&gt;&lt;/urls&gt;&lt;electronic-resource-num&gt;10.23907/2015.055&lt;/electronic-resource-num&gt;&lt;/record&gt;&lt;/Cite&gt;&lt;/EndNote&gt;</w:instrText>
      </w:r>
      <w:r w:rsidR="00A00583">
        <w:rPr>
          <w:rFonts w:ascii="Calibri" w:hAnsi="Calibri" w:cs="Arial"/>
          <w:sz w:val="24"/>
          <w:szCs w:val="24"/>
        </w:rPr>
        <w:fldChar w:fldCharType="separate"/>
      </w:r>
      <w:r w:rsidR="00A00583">
        <w:rPr>
          <w:rFonts w:ascii="Calibri" w:hAnsi="Calibri" w:cs="Arial"/>
          <w:noProof/>
          <w:sz w:val="24"/>
          <w:szCs w:val="24"/>
        </w:rPr>
        <w:t>(Harruff, Couper, &amp; Banta-Green, 2015)</w:t>
      </w:r>
      <w:r w:rsidR="00A00583">
        <w:rPr>
          <w:rFonts w:ascii="Calibri" w:hAnsi="Calibri" w:cs="Arial"/>
          <w:sz w:val="24"/>
          <w:szCs w:val="24"/>
        </w:rPr>
        <w:fldChar w:fldCharType="end"/>
      </w:r>
      <w:r w:rsidR="00A00583">
        <w:rPr>
          <w:rFonts w:ascii="Calibri" w:hAnsi="Calibri" w:cs="Arial"/>
          <w:sz w:val="24"/>
          <w:szCs w:val="24"/>
        </w:rPr>
        <w:t>.</w:t>
      </w:r>
      <w:r w:rsidRPr="00DE1ED9">
        <w:rPr>
          <w:rFonts w:ascii="Calibri" w:hAnsi="Calibri" w:cs="Arial"/>
          <w:sz w:val="24"/>
          <w:szCs w:val="24"/>
        </w:rPr>
        <w:t xml:space="preserve"> </w:t>
      </w:r>
      <w:r w:rsidR="00B52394" w:rsidRPr="00B52394">
        <w:rPr>
          <w:rFonts w:ascii="Calibri" w:hAnsi="Calibri" w:cs="Arial"/>
          <w:sz w:val="24"/>
          <w:szCs w:val="24"/>
        </w:rPr>
        <w:t xml:space="preserve">A subset of 2 toxicology reports included “opiates,” an unknown or uncharacterized opiate found on toxicology. </w:t>
      </w:r>
    </w:p>
    <w:p w14:paraId="557F7040" w14:textId="77777777" w:rsidR="0059306F" w:rsidRPr="004F4FFC" w:rsidRDefault="0059306F">
      <w:pPr>
        <w:spacing w:after="0"/>
        <w:rPr>
          <w:rFonts w:ascii="Calibri" w:hAnsi="Calibri" w:cs="Arial"/>
          <w:sz w:val="24"/>
          <w:szCs w:val="24"/>
        </w:rPr>
      </w:pPr>
    </w:p>
    <w:p w14:paraId="44957BD4" w14:textId="77777777" w:rsidR="0059306F" w:rsidRPr="004F4FFC" w:rsidRDefault="0059306F">
      <w:pPr>
        <w:spacing w:after="0"/>
        <w:rPr>
          <w:rFonts w:ascii="Calibri" w:hAnsi="Calibri" w:cs="Arial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>2. Stimulant toxicology assays included cocaine and amphetamines</w:t>
      </w:r>
    </w:p>
    <w:p w14:paraId="12FB2822" w14:textId="77777777" w:rsidR="0059306F" w:rsidRPr="004F4FFC" w:rsidRDefault="0059306F">
      <w:pPr>
        <w:spacing w:after="0"/>
        <w:rPr>
          <w:rFonts w:ascii="Calibri" w:hAnsi="Calibri" w:cs="Arial"/>
          <w:sz w:val="24"/>
          <w:szCs w:val="24"/>
        </w:rPr>
      </w:pPr>
    </w:p>
    <w:p w14:paraId="5C918AB5" w14:textId="163FEEB0" w:rsidR="0059306F" w:rsidRDefault="0059306F">
      <w:pPr>
        <w:spacing w:after="0"/>
        <w:rPr>
          <w:rFonts w:ascii="Calibri" w:eastAsiaTheme="majorEastAsia" w:hAnsi="Calibri" w:cs="Calibri"/>
          <w:b/>
          <w:color w:val="000000" w:themeColor="text1"/>
          <w:sz w:val="24"/>
          <w:szCs w:val="24"/>
        </w:rPr>
      </w:pPr>
      <w:r w:rsidRPr="004F4FFC">
        <w:rPr>
          <w:rFonts w:ascii="Calibri" w:hAnsi="Calibri" w:cs="Arial"/>
          <w:sz w:val="24"/>
          <w:szCs w:val="24"/>
        </w:rPr>
        <w:t>3. “Other substance” toxicology assays included benzodiazepines, alcohol, marijuana, gabapentin, or clonidine.</w:t>
      </w:r>
      <w:r>
        <w:rPr>
          <w:rFonts w:ascii="Calibri" w:hAnsi="Calibri" w:cs="Calibri"/>
          <w:sz w:val="24"/>
          <w:szCs w:val="24"/>
        </w:rPr>
        <w:br w:type="page"/>
      </w:r>
    </w:p>
    <w:p w14:paraId="7B1A0B7F" w14:textId="12F1AD49" w:rsidR="00583FB4" w:rsidRPr="00EF31DA" w:rsidRDefault="00583FB4" w:rsidP="00583FB4">
      <w:pPr>
        <w:pStyle w:val="TableHeading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Supplementary </w:t>
      </w:r>
      <w:r w:rsidRPr="00EF31DA">
        <w:rPr>
          <w:rFonts w:ascii="Calibri" w:hAnsi="Calibri" w:cs="Calibri"/>
          <w:sz w:val="24"/>
          <w:szCs w:val="24"/>
        </w:rPr>
        <w:t>Table 1. Definitions of covariables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040"/>
        <w:gridCol w:w="2232"/>
      </w:tblGrid>
      <w:tr w:rsidR="00583FB4" w:rsidRPr="00EF31DA" w14:paraId="05897424" w14:textId="77777777" w:rsidTr="007E4535">
        <w:trPr>
          <w:trHeight w:val="49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37F894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  <w:b/>
              </w:rPr>
            </w:pPr>
            <w:r w:rsidRPr="00EF31DA">
              <w:rPr>
                <w:rFonts w:ascii="Calibri" w:hAnsi="Calibri" w:cs="Calibri"/>
                <w:b/>
              </w:rPr>
              <w:t>Covariable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481FE7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  <w:b/>
              </w:rPr>
            </w:pPr>
            <w:r w:rsidRPr="00EF31DA">
              <w:rPr>
                <w:rFonts w:ascii="Calibri" w:hAnsi="Calibri" w:cs="Calibri"/>
                <w:b/>
              </w:rPr>
              <w:t>Covariable definition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FCCE77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  <w:vertAlign w:val="superscript"/>
              </w:rPr>
            </w:pPr>
            <w:r w:rsidRPr="00EF31DA">
              <w:rPr>
                <w:rFonts w:ascii="Calibri" w:hAnsi="Calibri" w:cs="Calibri"/>
                <w:b/>
              </w:rPr>
              <w:t>Datasets used to derive covariables</w:t>
            </w:r>
          </w:p>
        </w:tc>
      </w:tr>
      <w:tr w:rsidR="00583FB4" w:rsidRPr="00EF31DA" w14:paraId="15600DA2" w14:textId="77777777" w:rsidTr="007E4535"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05393271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Age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7E50D6B7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 xml:space="preserve">Age at time of death was stratified into 3 groups: </w:t>
            </w:r>
          </w:p>
          <w:p w14:paraId="7E4A171F" w14:textId="63D61025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(1) 11-24</w:t>
            </w:r>
            <w:r w:rsidR="00C539FA">
              <w:rPr>
                <w:rFonts w:ascii="Calibri" w:eastAsia="Times New Roman" w:hAnsi="Calibri" w:cs="Calibri"/>
                <w:vertAlign w:val="superscript"/>
              </w:rPr>
              <w:t>*</w:t>
            </w:r>
            <w:r w:rsidRPr="00EF31DA">
              <w:rPr>
                <w:rFonts w:ascii="Calibri" w:hAnsi="Calibri" w:cs="Calibri"/>
              </w:rPr>
              <w:t>, (2) 25-44, and (3) 45+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14:paraId="7B660F26" w14:textId="77777777" w:rsidR="00583FB4" w:rsidRPr="00EF31DA" w:rsidRDefault="00583FB4" w:rsidP="007E4535">
            <w:pPr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RVRS Death Records</w:t>
            </w:r>
          </w:p>
        </w:tc>
      </w:tr>
      <w:tr w:rsidR="00583FB4" w:rsidRPr="00EF31DA" w14:paraId="35E6FC6B" w14:textId="77777777" w:rsidTr="007E4535">
        <w:tc>
          <w:tcPr>
            <w:tcW w:w="2088" w:type="dxa"/>
            <w:shd w:val="clear" w:color="auto" w:fill="E7E6E6" w:themeFill="background2"/>
            <w:vAlign w:val="center"/>
          </w:tcPr>
          <w:p w14:paraId="20F7B7D3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5A53E76D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 xml:space="preserve">Gender recorded at time of death: </w:t>
            </w:r>
          </w:p>
          <w:p w14:paraId="5FE22F44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(1) Male and (2) Female</w:t>
            </w:r>
          </w:p>
        </w:tc>
        <w:tc>
          <w:tcPr>
            <w:tcW w:w="2232" w:type="dxa"/>
            <w:shd w:val="clear" w:color="auto" w:fill="E7E6E6" w:themeFill="background2"/>
            <w:vAlign w:val="center"/>
          </w:tcPr>
          <w:p w14:paraId="033C2869" w14:textId="77777777" w:rsidR="00583FB4" w:rsidRPr="00EF31DA" w:rsidRDefault="00583FB4" w:rsidP="007E4535">
            <w:pPr>
              <w:pStyle w:val="NoSpacing"/>
              <w:rPr>
                <w:rFonts w:ascii="Calibri" w:eastAsia="MS Mincho" w:hAnsi="Calibri" w:cs="Calibri"/>
              </w:rPr>
            </w:pPr>
            <w:r w:rsidRPr="00EF31DA">
              <w:rPr>
                <w:rFonts w:ascii="Calibri" w:eastAsia="MS Mincho" w:hAnsi="Calibri" w:cs="Calibri"/>
              </w:rPr>
              <w:t>RVRS Death Records</w:t>
            </w:r>
          </w:p>
        </w:tc>
      </w:tr>
      <w:tr w:rsidR="00583FB4" w:rsidRPr="00EF31DA" w14:paraId="1D2EDF78" w14:textId="77777777" w:rsidTr="007E4535">
        <w:tc>
          <w:tcPr>
            <w:tcW w:w="2088" w:type="dxa"/>
            <w:vAlign w:val="center"/>
          </w:tcPr>
          <w:p w14:paraId="796E5828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Race</w:t>
            </w:r>
          </w:p>
        </w:tc>
        <w:tc>
          <w:tcPr>
            <w:tcW w:w="5040" w:type="dxa"/>
            <w:vAlign w:val="center"/>
          </w:tcPr>
          <w:p w14:paraId="1938EBB9" w14:textId="77777777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 xml:space="preserve">Race recorded at time of death was categorized in to 4 groups: </w:t>
            </w:r>
          </w:p>
          <w:p w14:paraId="37B7CEFB" w14:textId="77777777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>(1) White non-Hispanic, (2) Black non-Hispanic, (3) Hispanic, and (4) Others (including Asian/PI non-Hispanic, American Indian or Other)</w:t>
            </w:r>
          </w:p>
        </w:tc>
        <w:tc>
          <w:tcPr>
            <w:tcW w:w="2232" w:type="dxa"/>
            <w:vAlign w:val="center"/>
          </w:tcPr>
          <w:p w14:paraId="218C448F" w14:textId="77777777" w:rsidR="00583FB4" w:rsidRPr="00EF31DA" w:rsidRDefault="00583FB4" w:rsidP="007E4535">
            <w:pPr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RVRS Death Records</w:t>
            </w:r>
          </w:p>
        </w:tc>
      </w:tr>
      <w:tr w:rsidR="00583FB4" w:rsidRPr="00EF31DA" w14:paraId="69109C60" w14:textId="77777777" w:rsidTr="007E4535">
        <w:trPr>
          <w:trHeight w:val="494"/>
        </w:trPr>
        <w:tc>
          <w:tcPr>
            <w:tcW w:w="2088" w:type="dxa"/>
            <w:shd w:val="clear" w:color="auto" w:fill="E7E6E6" w:themeFill="background2"/>
            <w:vAlign w:val="center"/>
          </w:tcPr>
          <w:p w14:paraId="2A3FB6F1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Geographic area of residence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695A05CD" w14:textId="77777777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>The code for city/town of residence in MA was classified into 2 groups:</w:t>
            </w:r>
          </w:p>
          <w:p w14:paraId="3D9D89E6" w14:textId="37E9773E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 xml:space="preserve">(1) </w:t>
            </w:r>
            <w:r>
              <w:rPr>
                <w:rFonts w:ascii="Calibri" w:eastAsia="Times New Roman" w:hAnsi="Calibri" w:cs="Calibri"/>
              </w:rPr>
              <w:t>non-rural and (2) rural</w:t>
            </w:r>
            <w:r w:rsidRPr="00EF31DA">
              <w:rPr>
                <w:rFonts w:ascii="Calibri" w:eastAsia="Times New Roman" w:hAnsi="Calibri" w:cs="Calibri"/>
              </w:rPr>
              <w:t xml:space="preserve">. These distinctions are based on </w:t>
            </w:r>
            <w:r>
              <w:rPr>
                <w:rFonts w:ascii="Calibri" w:eastAsia="Times New Roman" w:hAnsi="Calibri" w:cs="Calibri"/>
              </w:rPr>
              <w:t>town</w:t>
            </w:r>
            <w:r w:rsidRPr="00EF31DA">
              <w:rPr>
                <w:rFonts w:ascii="Calibri" w:eastAsia="Times New Roman" w:hAnsi="Calibri" w:cs="Calibri"/>
              </w:rPr>
              <w:t xml:space="preserve"> and the determination is made by the </w:t>
            </w:r>
            <w:r>
              <w:rPr>
                <w:rFonts w:ascii="Calibri" w:eastAsia="Times New Roman" w:hAnsi="Calibri" w:cs="Calibri"/>
              </w:rPr>
              <w:t xml:space="preserve">Massachusetts State </w:t>
            </w:r>
            <w:r w:rsidRPr="00EF31DA">
              <w:rPr>
                <w:rFonts w:ascii="Calibri" w:eastAsia="Times New Roman" w:hAnsi="Calibri" w:cs="Calibri"/>
              </w:rPr>
              <w:t>Office of R</w:t>
            </w:r>
            <w:r>
              <w:rPr>
                <w:rFonts w:ascii="Calibri" w:eastAsia="Times New Roman" w:hAnsi="Calibri" w:cs="Calibri"/>
              </w:rPr>
              <w:t>ural</w:t>
            </w:r>
            <w:r w:rsidRPr="00EF31DA">
              <w:rPr>
                <w:rFonts w:ascii="Calibri" w:eastAsia="Times New Roman" w:hAnsi="Calibri" w:cs="Calibri"/>
              </w:rPr>
              <w:t xml:space="preserve"> Health</w:t>
            </w:r>
            <w:r w:rsidRPr="00EF31DA">
              <w:rPr>
                <w:rFonts w:ascii="Calibri" w:eastAsia="Times New Roman" w:hAnsi="Calibri" w:cs="Calibri"/>
                <w:vertAlign w:val="superscript"/>
              </w:rPr>
              <w:t>*</w:t>
            </w:r>
            <w:r w:rsidR="00C539FA">
              <w:rPr>
                <w:rFonts w:ascii="Calibri" w:eastAsia="Times New Roman" w:hAnsi="Calibri" w:cs="Calibri"/>
                <w:vertAlign w:val="superscript"/>
              </w:rPr>
              <w:t>*</w:t>
            </w:r>
          </w:p>
        </w:tc>
        <w:tc>
          <w:tcPr>
            <w:tcW w:w="2232" w:type="dxa"/>
            <w:shd w:val="clear" w:color="auto" w:fill="E7E6E6" w:themeFill="background2"/>
            <w:vAlign w:val="center"/>
          </w:tcPr>
          <w:p w14:paraId="5FC02321" w14:textId="77777777" w:rsidR="00583FB4" w:rsidRPr="00EF31DA" w:rsidRDefault="00583FB4" w:rsidP="007E4535">
            <w:pPr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Master Demographic</w:t>
            </w:r>
          </w:p>
        </w:tc>
      </w:tr>
      <w:tr w:rsidR="00583FB4" w:rsidRPr="00EF31DA" w14:paraId="04314A9C" w14:textId="77777777" w:rsidTr="007E4535">
        <w:tc>
          <w:tcPr>
            <w:tcW w:w="2088" w:type="dxa"/>
            <w:shd w:val="clear" w:color="auto" w:fill="FFFFFF" w:themeFill="background1"/>
            <w:vAlign w:val="center"/>
          </w:tcPr>
          <w:p w14:paraId="3D4C0496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HIV status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2858D60B" w14:textId="77777777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>ICD-10 code for HIV</w:t>
            </w:r>
            <w:r>
              <w:rPr>
                <w:rFonts w:ascii="Calibri" w:eastAsia="Times New Roman" w:hAnsi="Calibri" w:cs="Calibri"/>
              </w:rPr>
              <w:t xml:space="preserve"> in the study period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3183EE2" w14:textId="77777777" w:rsidR="00583FB4" w:rsidRPr="00EF31DA" w:rsidRDefault="00583FB4" w:rsidP="007E4535">
            <w:pPr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APCD</w:t>
            </w:r>
          </w:p>
        </w:tc>
      </w:tr>
      <w:tr w:rsidR="00583FB4" w:rsidRPr="00EF31DA" w14:paraId="0B47C48F" w14:textId="77777777" w:rsidTr="007E4535">
        <w:tc>
          <w:tcPr>
            <w:tcW w:w="2088" w:type="dxa"/>
            <w:shd w:val="clear" w:color="auto" w:fill="E7E6E6" w:themeFill="background2"/>
            <w:vAlign w:val="center"/>
          </w:tcPr>
          <w:p w14:paraId="7207E25D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Homelessness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3384039F" w14:textId="77777777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>One of the following</w:t>
            </w:r>
            <w:r>
              <w:rPr>
                <w:rFonts w:ascii="Calibri" w:eastAsia="Times New Roman" w:hAnsi="Calibri" w:cs="Calibri"/>
              </w:rPr>
              <w:t xml:space="preserve"> in the study period</w:t>
            </w:r>
            <w:r w:rsidRPr="00EF31DA">
              <w:rPr>
                <w:rFonts w:ascii="Calibri" w:eastAsia="Times New Roman" w:hAnsi="Calibri" w:cs="Calibri"/>
              </w:rPr>
              <w:t>: 1) a claim with an accompanying ICD-9 V.60 or ICD-10 Z590 code indicating homelessness; 2) a record in the Department of Mental Health (DMH) in which individuals were ever identified as experiencing a loss of housing based on a measure of housing status captured on a monthly basis for all DMH clients; 3) an ambulance record in in which the word “homeless” or “shelter” appeared in the narrative report; or 4) a prescription record in the in which the patient’s address matched that of an emergency shelter (yes= met one of the above conditions, no= did not meet one of the above conditions)</w:t>
            </w:r>
          </w:p>
        </w:tc>
        <w:tc>
          <w:tcPr>
            <w:tcW w:w="2232" w:type="dxa"/>
            <w:shd w:val="clear" w:color="auto" w:fill="E7E6E6" w:themeFill="background2"/>
            <w:vAlign w:val="center"/>
          </w:tcPr>
          <w:p w14:paraId="6A8BABB9" w14:textId="77777777" w:rsidR="00583FB4" w:rsidRPr="00EF31DA" w:rsidRDefault="00583FB4" w:rsidP="007E4535">
            <w:pPr>
              <w:pStyle w:val="NoSpacing"/>
              <w:rPr>
                <w:rFonts w:ascii="Calibri" w:eastAsia="MS Mincho" w:hAnsi="Calibri" w:cs="Calibri"/>
              </w:rPr>
            </w:pPr>
            <w:r w:rsidRPr="00EF31DA">
              <w:rPr>
                <w:rFonts w:ascii="Calibri" w:hAnsi="Calibri" w:cs="Calibri"/>
              </w:rPr>
              <w:t>APCD, Case Mix, DMH, MATRIS, PMP</w:t>
            </w:r>
          </w:p>
        </w:tc>
      </w:tr>
      <w:tr w:rsidR="00583FB4" w:rsidRPr="00EF31DA" w14:paraId="7B2F4AA2" w14:textId="77777777" w:rsidTr="007E4535">
        <w:tc>
          <w:tcPr>
            <w:tcW w:w="2088" w:type="dxa"/>
            <w:shd w:val="clear" w:color="auto" w:fill="FFFFFF" w:themeFill="background1"/>
            <w:vAlign w:val="center"/>
          </w:tcPr>
          <w:p w14:paraId="5B4C4816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Mental health comorbidity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18765F4B" w14:textId="15236785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>Mental health comorbidity if one of the following</w:t>
            </w:r>
            <w:r w:rsidR="00172EE8">
              <w:rPr>
                <w:rFonts w:ascii="Calibri" w:eastAsia="Times New Roman" w:hAnsi="Calibri" w:cs="Calibri"/>
              </w:rPr>
              <w:t xml:space="preserve"> ICD9 or ICD10 codes present</w:t>
            </w:r>
            <w:r w:rsidRPr="00EF31DA">
              <w:rPr>
                <w:rFonts w:ascii="Calibri" w:eastAsia="Times New Roman" w:hAnsi="Calibri" w:cs="Calibri"/>
              </w:rPr>
              <w:t>: an inpatient encounter for depression, bipolar, or schizophrenia, or emergency department visit for depression, bipolar, or schizophrenia, or outpatient observation encounter for depression, bipolar, or schizophrenia in the study period</w:t>
            </w:r>
            <w:r>
              <w:rPr>
                <w:rFonts w:ascii="Calibri" w:eastAsia="Times New Roman" w:hAnsi="Calibri" w:cs="Calibri"/>
              </w:rPr>
              <w:t>; or ever diagnosed in APCD with these comorbidities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103277EC" w14:textId="77777777" w:rsidR="00583FB4" w:rsidRPr="00EF31DA" w:rsidRDefault="00583FB4" w:rsidP="007E4535">
            <w:pPr>
              <w:pStyle w:val="NoSpacing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 xml:space="preserve">APCD, </w:t>
            </w:r>
            <w:r w:rsidRPr="00EF31DA">
              <w:rPr>
                <w:rFonts w:ascii="Calibri" w:eastAsia="MS Mincho" w:hAnsi="Calibri" w:cs="Calibri"/>
              </w:rPr>
              <w:t xml:space="preserve">Case Mix </w:t>
            </w:r>
          </w:p>
        </w:tc>
      </w:tr>
      <w:tr w:rsidR="00583FB4" w:rsidRPr="00EF31DA" w14:paraId="4E6FFFED" w14:textId="77777777" w:rsidTr="007E4535">
        <w:tc>
          <w:tcPr>
            <w:tcW w:w="2088" w:type="dxa"/>
            <w:shd w:val="clear" w:color="auto" w:fill="E7E6E6" w:themeFill="background2"/>
            <w:vAlign w:val="center"/>
          </w:tcPr>
          <w:p w14:paraId="604F2801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lastRenderedPageBreak/>
              <w:t>Incarceration in the past 12 months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57BE91A4" w14:textId="77777777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 xml:space="preserve">Record of release from incarceration in either a state prison or jail within 12 months of death </w:t>
            </w:r>
          </w:p>
        </w:tc>
        <w:tc>
          <w:tcPr>
            <w:tcW w:w="2232" w:type="dxa"/>
            <w:shd w:val="clear" w:color="auto" w:fill="E7E6E6" w:themeFill="background2"/>
            <w:vAlign w:val="center"/>
          </w:tcPr>
          <w:p w14:paraId="44E63444" w14:textId="77777777" w:rsidR="00583FB4" w:rsidRPr="00EF31DA" w:rsidRDefault="00583FB4" w:rsidP="007E4535">
            <w:pPr>
              <w:pStyle w:val="NoSpacing"/>
              <w:rPr>
                <w:rFonts w:ascii="Calibri" w:eastAsia="MS Mincho" w:hAnsi="Calibri" w:cs="Calibri"/>
              </w:rPr>
            </w:pPr>
            <w:r w:rsidRPr="00EF31DA">
              <w:rPr>
                <w:rFonts w:ascii="Calibri" w:eastAsia="MS Mincho" w:hAnsi="Calibri" w:cs="Calibri"/>
              </w:rPr>
              <w:t xml:space="preserve">DOC and HOC </w:t>
            </w:r>
          </w:p>
        </w:tc>
      </w:tr>
      <w:tr w:rsidR="00583FB4" w:rsidRPr="00EF31DA" w14:paraId="3850820F" w14:textId="77777777" w:rsidTr="007E4535"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9FE2A" w14:textId="77777777" w:rsidR="00583FB4" w:rsidRPr="00EF31DA" w:rsidRDefault="00583FB4" w:rsidP="007E4535">
            <w:pPr>
              <w:pStyle w:val="NoSpacing"/>
              <w:rPr>
                <w:rFonts w:ascii="Calibri" w:hAnsi="Calibri" w:cs="Calibri"/>
              </w:rPr>
            </w:pPr>
            <w:r w:rsidRPr="00EF31DA">
              <w:rPr>
                <w:rFonts w:ascii="Calibri" w:hAnsi="Calibri" w:cs="Calibri"/>
              </w:rPr>
              <w:t>MOUD in the past 12 months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86DA5" w14:textId="77777777" w:rsidR="00583FB4" w:rsidRPr="00EF31DA" w:rsidRDefault="00583FB4" w:rsidP="007E4535">
            <w:pPr>
              <w:pStyle w:val="NoSpacing"/>
              <w:rPr>
                <w:rFonts w:ascii="Calibri" w:eastAsia="Times New Roman" w:hAnsi="Calibri" w:cs="Calibri"/>
              </w:rPr>
            </w:pPr>
            <w:r w:rsidRPr="00EF31DA">
              <w:rPr>
                <w:rFonts w:ascii="Calibri" w:eastAsia="Times New Roman" w:hAnsi="Calibri" w:cs="Calibri"/>
              </w:rPr>
              <w:t xml:space="preserve">Record of at least one claim for naltrexone, or encounter for methadone treatment, or prescription of buprenorphine within 12 months of death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32B5B" w14:textId="431280F1" w:rsidR="00583FB4" w:rsidRPr="00EF31DA" w:rsidRDefault="00583FB4" w:rsidP="007E4535">
            <w:pPr>
              <w:pStyle w:val="NoSpacing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BSAS</w:t>
            </w:r>
            <w:r w:rsidRPr="0027086C">
              <w:rPr>
                <w:rFonts w:ascii="Calibri" w:eastAsia="MS Mincho" w:hAnsi="Calibri" w:cs="Calibri"/>
                <w:vertAlign w:val="superscript"/>
              </w:rPr>
              <w:t>*</w:t>
            </w:r>
            <w:r w:rsidR="00C539FA">
              <w:rPr>
                <w:rFonts w:ascii="Calibri" w:eastAsia="MS Mincho" w:hAnsi="Calibri" w:cs="Calibri"/>
                <w:vertAlign w:val="superscript"/>
              </w:rPr>
              <w:t>*</w:t>
            </w:r>
            <w:r w:rsidRPr="0027086C">
              <w:rPr>
                <w:rFonts w:ascii="Calibri" w:eastAsia="MS Mincho" w:hAnsi="Calibri" w:cs="Calibri"/>
                <w:vertAlign w:val="superscript"/>
              </w:rPr>
              <w:t>*</w:t>
            </w:r>
            <w:r>
              <w:rPr>
                <w:rFonts w:ascii="Calibri" w:eastAsia="MS Mincho" w:hAnsi="Calibri" w:cs="Calibri"/>
              </w:rPr>
              <w:t>, PMP,</w:t>
            </w:r>
          </w:p>
          <w:p w14:paraId="535328C9" w14:textId="77777777" w:rsidR="00583FB4" w:rsidRPr="00EF31DA" w:rsidRDefault="00583FB4" w:rsidP="007E4535">
            <w:pPr>
              <w:pStyle w:val="NoSpacing"/>
              <w:rPr>
                <w:rFonts w:ascii="Calibri" w:eastAsia="MS Mincho" w:hAnsi="Calibri" w:cs="Calibri"/>
              </w:rPr>
            </w:pPr>
            <w:r w:rsidRPr="00EF31DA">
              <w:rPr>
                <w:rFonts w:ascii="Calibri" w:eastAsia="MS Mincho" w:hAnsi="Calibri" w:cs="Calibri"/>
              </w:rPr>
              <w:t>APCD</w:t>
            </w:r>
          </w:p>
        </w:tc>
      </w:tr>
    </w:tbl>
    <w:p w14:paraId="039A4787" w14:textId="1D269E25" w:rsidR="00583FB4" w:rsidRDefault="00583FB4" w:rsidP="00583FB4">
      <w:pPr>
        <w:rPr>
          <w:rFonts w:ascii="Calibri" w:hAnsi="Calibri" w:cs="Calibri"/>
          <w:sz w:val="20"/>
          <w:szCs w:val="20"/>
        </w:rPr>
      </w:pPr>
      <w:r w:rsidRPr="00EF31DA">
        <w:rPr>
          <w:rFonts w:ascii="Calibri" w:hAnsi="Calibri" w:cs="Calibri"/>
          <w:bCs/>
          <w:color w:val="000000" w:themeColor="text1"/>
          <w:sz w:val="20"/>
          <w:szCs w:val="20"/>
        </w:rPr>
        <w:t xml:space="preserve">RVRS=Registry of Vital Records and Statistics; APCD=All Payer Claims Database; BSAS=Bureau of Substance Abuse Services; DMH=Department of Mental Health; </w:t>
      </w:r>
      <w:r w:rsidRPr="00EF31DA">
        <w:rPr>
          <w:rFonts w:ascii="Calibri" w:hAnsi="Calibri" w:cs="Calibri"/>
          <w:sz w:val="20"/>
          <w:szCs w:val="20"/>
        </w:rPr>
        <w:t>MATRIS=Massachusetts Ambulance Trip Record Information System</w:t>
      </w:r>
      <w:r w:rsidRPr="00EF31DA">
        <w:rPr>
          <w:rFonts w:ascii="Calibri" w:hAnsi="Calibri" w:cs="Calibri"/>
          <w:bCs/>
          <w:color w:val="000000" w:themeColor="text1"/>
          <w:sz w:val="20"/>
          <w:szCs w:val="20"/>
        </w:rPr>
        <w:t>; PMP=</w:t>
      </w:r>
      <w:r w:rsidRPr="00EF31DA">
        <w:rPr>
          <w:rFonts w:ascii="Calibri" w:hAnsi="Calibri" w:cs="Calibri"/>
          <w:sz w:val="20"/>
          <w:szCs w:val="20"/>
        </w:rPr>
        <w:t>prescription monitoring program; DOC=Department of Corrections (prison); HOC=House of Corrections (jail); MOUD=Medication for Opioid Use Disorder</w:t>
      </w:r>
    </w:p>
    <w:p w14:paraId="6D8DBD1E" w14:textId="5D94EF04" w:rsidR="00C539FA" w:rsidRPr="00EF31DA" w:rsidRDefault="00C539FA" w:rsidP="00583FB4">
      <w:pPr>
        <w:rPr>
          <w:rFonts w:ascii="Calibri" w:hAnsi="Calibri" w:cs="Calibri"/>
          <w:sz w:val="20"/>
          <w:szCs w:val="20"/>
        </w:rPr>
      </w:pPr>
      <w:r w:rsidRPr="00EF31DA">
        <w:rPr>
          <w:rFonts w:ascii="Calibri" w:hAnsi="Calibri" w:cs="Calibri"/>
          <w:sz w:val="20"/>
          <w:szCs w:val="20"/>
          <w:vertAlign w:val="superscript"/>
        </w:rPr>
        <w:t>*</w:t>
      </w:r>
      <w:r w:rsidRPr="00C539FA">
        <w:rPr>
          <w:rFonts w:ascii="Calibri" w:hAnsi="Calibri" w:cs="Calibri"/>
          <w:sz w:val="20"/>
          <w:szCs w:val="20"/>
        </w:rPr>
        <w:t>We included persons 11 years and older because</w:t>
      </w:r>
      <w:r w:rsidR="00406D7E">
        <w:rPr>
          <w:rFonts w:ascii="Calibri" w:hAnsi="Calibri" w:cs="Calibri"/>
          <w:sz w:val="20"/>
          <w:szCs w:val="20"/>
        </w:rPr>
        <w:t>:</w:t>
      </w:r>
      <w:r w:rsidRPr="00C539FA">
        <w:rPr>
          <w:rFonts w:ascii="Calibri" w:hAnsi="Calibri" w:cs="Calibri"/>
          <w:sz w:val="20"/>
          <w:szCs w:val="20"/>
        </w:rPr>
        <w:t xml:space="preserve"> 1) the prevalence of opioid use disorder (OUD) is expanding in persons less than 18 years</w:t>
      </w:r>
      <w:r w:rsidR="00A00583">
        <w:rPr>
          <w:rFonts w:ascii="Calibri" w:hAnsi="Calibri" w:cs="Calibri"/>
          <w:sz w:val="20"/>
          <w:szCs w:val="20"/>
        </w:rPr>
        <w:t xml:space="preserve"> </w:t>
      </w:r>
      <w:r w:rsidR="004F4FFC">
        <w:rPr>
          <w:rFonts w:ascii="Calibri" w:hAnsi="Calibri" w:cs="Calibri"/>
          <w:sz w:val="20"/>
          <w:szCs w:val="20"/>
        </w:rPr>
        <w:fldChar w:fldCharType="begin">
          <w:fldData xml:space="preserve">PEVuZE5vdGU+PENpdGU+PEF1dGhvcj5CYXJvY2FzPC9BdXRob3I+PFllYXI+MjAxODwvWWVhcj48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</w:fldData>
        </w:fldChar>
      </w:r>
      <w:r w:rsidR="00A00583">
        <w:rPr>
          <w:rFonts w:ascii="Calibri" w:hAnsi="Calibri" w:cs="Calibri"/>
          <w:sz w:val="20"/>
          <w:szCs w:val="20"/>
        </w:rPr>
        <w:instrText xml:space="preserve"> ADDIN EN.CITE </w:instrText>
      </w:r>
      <w:r w:rsidR="00A00583">
        <w:rPr>
          <w:rFonts w:ascii="Calibri" w:hAnsi="Calibri" w:cs="Calibri"/>
          <w:sz w:val="20"/>
          <w:szCs w:val="20"/>
        </w:rPr>
        <w:fldChar w:fldCharType="begin">
          <w:fldData xml:space="preserve">PEVuZE5vdGU+PENpdGU+PEF1dGhvcj5CYXJvY2FzPC9BdXRob3I+PFllYXI+MjAxODwvWWVhcj48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</w:fldData>
        </w:fldChar>
      </w:r>
      <w:r w:rsidR="00A00583">
        <w:rPr>
          <w:rFonts w:ascii="Calibri" w:hAnsi="Calibri" w:cs="Calibri"/>
          <w:sz w:val="20"/>
          <w:szCs w:val="20"/>
        </w:rPr>
        <w:instrText xml:space="preserve"> ADDIN EN.CITE.DATA </w:instrText>
      </w:r>
      <w:r w:rsidR="00A00583">
        <w:rPr>
          <w:rFonts w:ascii="Calibri" w:hAnsi="Calibri" w:cs="Calibri"/>
          <w:sz w:val="20"/>
          <w:szCs w:val="20"/>
        </w:rPr>
      </w:r>
      <w:r w:rsidR="00A00583">
        <w:rPr>
          <w:rFonts w:ascii="Calibri" w:hAnsi="Calibri" w:cs="Calibri"/>
          <w:sz w:val="20"/>
          <w:szCs w:val="20"/>
        </w:rPr>
        <w:fldChar w:fldCharType="end"/>
      </w:r>
      <w:r w:rsidR="004F4FFC">
        <w:rPr>
          <w:rFonts w:ascii="Calibri" w:hAnsi="Calibri" w:cs="Calibri"/>
          <w:sz w:val="20"/>
          <w:szCs w:val="20"/>
        </w:rPr>
      </w:r>
      <w:r w:rsidR="004F4FFC">
        <w:rPr>
          <w:rFonts w:ascii="Calibri" w:hAnsi="Calibri" w:cs="Calibri"/>
          <w:sz w:val="20"/>
          <w:szCs w:val="20"/>
        </w:rPr>
        <w:fldChar w:fldCharType="separate"/>
      </w:r>
      <w:r w:rsidR="004F4FFC">
        <w:rPr>
          <w:rFonts w:ascii="Calibri" w:hAnsi="Calibri" w:cs="Calibri"/>
          <w:noProof/>
          <w:sz w:val="20"/>
          <w:szCs w:val="20"/>
        </w:rPr>
        <w:t>(Barocas et al., 2018)</w:t>
      </w:r>
      <w:r w:rsidR="004F4FFC">
        <w:rPr>
          <w:rFonts w:ascii="Calibri" w:hAnsi="Calibri" w:cs="Calibri"/>
          <w:sz w:val="20"/>
          <w:szCs w:val="20"/>
        </w:rPr>
        <w:fldChar w:fldCharType="end"/>
      </w:r>
      <w:r w:rsidR="00406D7E">
        <w:rPr>
          <w:rFonts w:ascii="Calibri" w:hAnsi="Calibri" w:cs="Calibri"/>
          <w:sz w:val="20"/>
          <w:szCs w:val="20"/>
        </w:rPr>
        <w:t>;</w:t>
      </w:r>
      <w:r w:rsidRPr="00C539FA">
        <w:rPr>
          <w:rFonts w:ascii="Calibri" w:hAnsi="Calibri" w:cs="Calibri"/>
          <w:sz w:val="20"/>
          <w:szCs w:val="20"/>
        </w:rPr>
        <w:t xml:space="preserve"> 2) drug overdose mortality has </w:t>
      </w:r>
      <w:r w:rsidR="004F4FFC">
        <w:rPr>
          <w:rFonts w:ascii="Calibri" w:hAnsi="Calibri" w:cs="Calibri"/>
          <w:sz w:val="20"/>
          <w:szCs w:val="20"/>
        </w:rPr>
        <w:t xml:space="preserve">steadily increased among youth </w:t>
      </w:r>
      <w:r w:rsidR="00A00583">
        <w:rPr>
          <w:rFonts w:ascii="Calibri" w:hAnsi="Calibri" w:cs="Calibri"/>
          <w:sz w:val="20"/>
          <w:szCs w:val="20"/>
        </w:rPr>
        <w:t xml:space="preserve"> </w:t>
      </w:r>
      <w:r w:rsidR="004F4FFC">
        <w:rPr>
          <w:rFonts w:ascii="Calibri" w:hAnsi="Calibri" w:cs="Calibri"/>
          <w:sz w:val="20"/>
          <w:szCs w:val="20"/>
        </w:rPr>
        <w:fldChar w:fldCharType="begin"/>
      </w:r>
      <w:r w:rsidR="00A00583">
        <w:rPr>
          <w:rFonts w:ascii="Calibri" w:hAnsi="Calibri" w:cs="Calibri"/>
          <w:sz w:val="20"/>
          <w:szCs w:val="20"/>
        </w:rPr>
        <w:instrText xml:space="preserve"> ADDIN EN.CITE &lt;EndNote&gt;&lt;Cite&gt;&lt;Author&gt;Hedegaard&lt;/Author&gt;&lt;Year&gt;2018&lt;/Year&gt;&lt;RecNum&gt;461&lt;/RecNum&gt;&lt;DisplayText&gt;(Hedegaard, 2018)&lt;/DisplayText&gt;&lt;record&gt;&lt;rec-number&gt;461&lt;/rec-number&gt;&lt;foreign-keys&gt;&lt;key app="EN" db-id="2rv9d09z5etsz4er0aap9svsz2dxxdwvd2ax" timestamp="1550678495" guid="09a70b1d-7f09-4379-b987-2e2a4e863391"&gt;461&lt;/key&gt;&lt;/foreign-keys&gt;&lt;ref-type name="Report"&gt;27&lt;/ref-type&gt;&lt;contributors&gt;&lt;authors&gt;&lt;author&gt;Hedegaard, H., Bastian, B.A., Trinidad, J.P., Spencer, M., Warner, M.&lt;/author&gt;&lt;/authors&gt;&lt;/contributors&gt;&lt;titles&gt;&lt;title&gt;Drugs most frequently involved in drug overdose deaths: United States, 2011-2016.&lt;/title&gt;&lt;secondary-title&gt;National Vital Statistics Reports&lt;/secondary-title&gt;&lt;/titles&gt;&lt;volume&gt;67&lt;/volume&gt;&lt;number&gt;9&lt;/number&gt;&lt;dates&gt;&lt;year&gt;2018&lt;/year&gt;&lt;/dates&gt;&lt;pub-location&gt;Hyattsville, MD&lt;/pub-location&gt;&lt;publisher&gt;National Center for Health Statistics&lt;/publisher&gt;&lt;urls&gt;&lt;/urls&gt;&lt;/record&gt;&lt;/Cite&gt;&lt;/EndNote&gt;</w:instrText>
      </w:r>
      <w:r w:rsidR="004F4FFC">
        <w:rPr>
          <w:rFonts w:ascii="Calibri" w:hAnsi="Calibri" w:cs="Calibri"/>
          <w:sz w:val="20"/>
          <w:szCs w:val="20"/>
        </w:rPr>
        <w:fldChar w:fldCharType="separate"/>
      </w:r>
      <w:r w:rsidR="004F4FFC">
        <w:rPr>
          <w:rFonts w:ascii="Calibri" w:hAnsi="Calibri" w:cs="Calibri"/>
          <w:noProof/>
          <w:sz w:val="20"/>
          <w:szCs w:val="20"/>
        </w:rPr>
        <w:t>(Hedegaard, 2018)</w:t>
      </w:r>
      <w:r w:rsidR="004F4FFC">
        <w:rPr>
          <w:rFonts w:ascii="Calibri" w:hAnsi="Calibri" w:cs="Calibri"/>
          <w:sz w:val="20"/>
          <w:szCs w:val="20"/>
        </w:rPr>
        <w:fldChar w:fldCharType="end"/>
      </w:r>
      <w:r w:rsidR="00406D7E">
        <w:rPr>
          <w:rFonts w:ascii="Calibri" w:hAnsi="Calibri" w:cs="Calibri"/>
          <w:sz w:val="20"/>
          <w:szCs w:val="20"/>
        </w:rPr>
        <w:t xml:space="preserve">; </w:t>
      </w:r>
      <w:r w:rsidRPr="00C539FA">
        <w:rPr>
          <w:rFonts w:ascii="Calibri" w:hAnsi="Calibri" w:cs="Calibri"/>
          <w:sz w:val="20"/>
          <w:szCs w:val="20"/>
        </w:rPr>
        <w:t>and 3) among individuals in treatment for OUD, 1 in 3 report first using opioid</w:t>
      </w:r>
      <w:r w:rsidR="004F4FFC">
        <w:rPr>
          <w:rFonts w:ascii="Calibri" w:hAnsi="Calibri" w:cs="Calibri"/>
          <w:sz w:val="20"/>
          <w:szCs w:val="20"/>
        </w:rPr>
        <w:t xml:space="preserve">s before age 18 </w:t>
      </w:r>
      <w:r w:rsidR="004F4FFC">
        <w:rPr>
          <w:rFonts w:ascii="Calibri" w:hAnsi="Calibri" w:cs="Calibri"/>
          <w:sz w:val="20"/>
          <w:szCs w:val="20"/>
        </w:rPr>
        <w:fldChar w:fldCharType="begin"/>
      </w:r>
      <w:r w:rsidR="00A00583">
        <w:rPr>
          <w:rFonts w:ascii="Calibri" w:hAnsi="Calibri" w:cs="Calibri"/>
          <w:sz w:val="20"/>
          <w:szCs w:val="20"/>
        </w:rPr>
        <w:instrText xml:space="preserve"> ADDIN EN.CITE &lt;EndNote&gt;&lt;Cite&gt;&lt;Author&gt;Quality.&lt;/Author&gt;&lt;Year&gt;2017&lt;/Year&gt;&lt;RecNum&gt;500&lt;/RecNum&gt;&lt;DisplayText&gt;(Quality., 2017)&lt;/DisplayText&gt;&lt;record&gt;&lt;rec-number&gt;500&lt;/rec-number&gt;&lt;foreign-keys&gt;&lt;key app="EN" db-id="2rv9d09z5etsz4er0aap9svsz2dxxdwvd2ax" timestamp="1550678497" guid="a099bb5d-7d85-4565-9f1c-96198b916d6a"&gt;500&lt;/key&gt;&lt;/foreign-keys&gt;&lt;ref-type name="Report"&gt;27&lt;/ref-type&gt;&lt;contributors&gt;&lt;authors&gt;&lt;author&gt;Substance Abuse and Mental Health Services Administration Center for Behavioral Health Statistics and Quality. &lt;/author&gt;&lt;/authors&gt;&lt;/contributors&gt;&lt;titles&gt;&lt;title&gt;Treatment Episode Data Set (TEDS): 2005-2015. National Admissions to Substance Abuse Treatment Services.&lt;/title&gt;&lt;/titles&gt;&lt;number&gt;HHS Publication No. (SMA) 17-5037&lt;/number&gt;&lt;num-vols&gt;BHSIS Series S-91&lt;/num-vols&gt;&lt;dates&gt;&lt;year&gt;2017&lt;/year&gt;&lt;/dates&gt;&lt;pub-location&gt;Rockville, MD&lt;/pub-location&gt;&lt;publisher&gt;Substance Abuse and Mental Health Services Administration&lt;/publisher&gt;&lt;urls&gt;&lt;/urls&gt;&lt;/record&gt;&lt;/Cite&gt;&lt;/EndNote&gt;</w:instrText>
      </w:r>
      <w:r w:rsidR="004F4FFC">
        <w:rPr>
          <w:rFonts w:ascii="Calibri" w:hAnsi="Calibri" w:cs="Calibri"/>
          <w:sz w:val="20"/>
          <w:szCs w:val="20"/>
        </w:rPr>
        <w:fldChar w:fldCharType="separate"/>
      </w:r>
      <w:r w:rsidR="004F4FFC">
        <w:rPr>
          <w:rFonts w:ascii="Calibri" w:hAnsi="Calibri" w:cs="Calibri"/>
          <w:noProof/>
          <w:sz w:val="20"/>
          <w:szCs w:val="20"/>
        </w:rPr>
        <w:t>(</w:t>
      </w:r>
      <w:r w:rsidR="00A00583">
        <w:rPr>
          <w:rFonts w:ascii="Calibri" w:hAnsi="Calibri" w:cs="Calibri"/>
          <w:noProof/>
          <w:sz w:val="20"/>
          <w:szCs w:val="20"/>
        </w:rPr>
        <w:t>TEDS</w:t>
      </w:r>
      <w:r w:rsidR="004F4FFC">
        <w:rPr>
          <w:rFonts w:ascii="Calibri" w:hAnsi="Calibri" w:cs="Calibri"/>
          <w:noProof/>
          <w:sz w:val="20"/>
          <w:szCs w:val="20"/>
        </w:rPr>
        <w:t>, 2017)</w:t>
      </w:r>
      <w:r w:rsidR="004F4FFC">
        <w:rPr>
          <w:rFonts w:ascii="Calibri" w:hAnsi="Calibri" w:cs="Calibri"/>
          <w:sz w:val="20"/>
          <w:szCs w:val="20"/>
        </w:rPr>
        <w:fldChar w:fldCharType="end"/>
      </w:r>
      <w:r w:rsidRPr="00C539FA">
        <w:rPr>
          <w:rFonts w:ascii="Calibri" w:hAnsi="Calibri" w:cs="Calibri"/>
          <w:sz w:val="20"/>
          <w:szCs w:val="20"/>
        </w:rPr>
        <w:t>.</w:t>
      </w:r>
    </w:p>
    <w:p w14:paraId="50B6C3DC" w14:textId="538193B3" w:rsidR="00583FB4" w:rsidRDefault="00C539FA" w:rsidP="00583FB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*</w:t>
      </w:r>
      <w:r w:rsidR="00583FB4" w:rsidRPr="00EF31DA">
        <w:rPr>
          <w:rFonts w:ascii="Calibri" w:hAnsi="Calibri" w:cs="Calibri"/>
          <w:sz w:val="20"/>
          <w:szCs w:val="20"/>
          <w:vertAlign w:val="superscript"/>
        </w:rPr>
        <w:t>*</w:t>
      </w:r>
      <w:r w:rsidR="00583FB4" w:rsidRPr="00EF31DA">
        <w:rPr>
          <w:rFonts w:ascii="Calibri" w:hAnsi="Calibri" w:cs="Calibri"/>
          <w:sz w:val="20"/>
          <w:szCs w:val="20"/>
        </w:rPr>
        <w:t>A municipality in Massachusetts is considered rural if it meets one of the following criteria: (1) meets at least one of three federal rural definitions at the sub-county level (Census Bureau, OMB, or RUCAs), (2) has a population less than 10,000 people and a population density below 500 people per square mile, (3) has an acute care hospital in the town that meets the state hospital licensure definition of a small rural hospital (SRH), or is a certified Critical Access Hospital (CAH).</w:t>
      </w:r>
    </w:p>
    <w:p w14:paraId="0E84A325" w14:textId="2D0C11C5" w:rsidR="00583FB4" w:rsidRPr="00EF31DA" w:rsidRDefault="00583FB4" w:rsidP="00583FB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*</w:t>
      </w:r>
      <w:r w:rsidR="00C539FA"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>A</w:t>
      </w:r>
      <w:r w:rsidRPr="0027086C">
        <w:rPr>
          <w:rFonts w:ascii="Calibri" w:hAnsi="Calibri" w:cs="Calibri"/>
          <w:sz w:val="20"/>
          <w:szCs w:val="20"/>
        </w:rPr>
        <w:t>dministrative records of admissions to BSAS licensed addiction treatment programs</w:t>
      </w:r>
    </w:p>
    <w:p w14:paraId="11737C37" w14:textId="77777777" w:rsidR="00583FB4" w:rsidRDefault="00583FB4" w:rsidP="00583FB4"/>
    <w:p w14:paraId="49DA2F70" w14:textId="77777777" w:rsidR="00177D2E" w:rsidRDefault="00177D2E">
      <w:pPr>
        <w:spacing w:after="0"/>
      </w:pPr>
      <w:r>
        <w:br w:type="page"/>
      </w:r>
    </w:p>
    <w:p w14:paraId="66303A52" w14:textId="793A2FCF" w:rsidR="007A5637" w:rsidRPr="007A5637" w:rsidRDefault="007A5637" w:rsidP="007A56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Supplementary Table </w:t>
      </w:r>
      <w:r w:rsidR="00572E1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. </w:t>
      </w:r>
      <w:r w:rsidRPr="007A5637">
        <w:rPr>
          <w:rFonts w:ascii="Calibri" w:hAnsi="Calibri" w:cs="Calibri"/>
          <w:b/>
        </w:rPr>
        <w:t xml:space="preserve">Demographic characteristics of </w:t>
      </w:r>
      <w:r>
        <w:rPr>
          <w:rFonts w:ascii="Calibri" w:hAnsi="Calibri" w:cs="Calibri"/>
          <w:b/>
        </w:rPr>
        <w:t xml:space="preserve">person </w:t>
      </w:r>
      <w:r w:rsidRPr="007A5637">
        <w:rPr>
          <w:rFonts w:ascii="Calibri" w:hAnsi="Calibri" w:cs="Calibri"/>
          <w:b/>
        </w:rPr>
        <w:t>with opioid-related deaths</w:t>
      </w:r>
      <w:r>
        <w:rPr>
          <w:rFonts w:ascii="Calibri" w:hAnsi="Calibri" w:cs="Calibri"/>
          <w:b/>
        </w:rPr>
        <w:t xml:space="preserve"> with and without toxicology,</w:t>
      </w:r>
      <w:r w:rsidRPr="007A5637">
        <w:rPr>
          <w:rFonts w:ascii="Calibri" w:hAnsi="Calibri" w:cs="Calibri"/>
          <w:b/>
        </w:rPr>
        <w:t xml:space="preserve"> 2014 - 2015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5637" w:rsidRPr="007A5637" w14:paraId="1280173C" w14:textId="77777777" w:rsidTr="007E4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3A55C5" w14:textId="77777777" w:rsidR="007A5637" w:rsidRPr="007A5637" w:rsidRDefault="007A5637" w:rsidP="007E4535">
            <w:pPr>
              <w:rPr>
                <w:rFonts w:ascii="Calibri" w:hAnsi="Calibri" w:cs="Calibri"/>
              </w:rPr>
            </w:pPr>
          </w:p>
        </w:tc>
        <w:tc>
          <w:tcPr>
            <w:tcW w:w="2337" w:type="dxa"/>
          </w:tcPr>
          <w:p w14:paraId="4FF95BAE" w14:textId="58F82AE3" w:rsidR="007A5637" w:rsidRPr="007A5637" w:rsidRDefault="007A5637" w:rsidP="007E4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Opioid</w:t>
            </w:r>
            <w:r>
              <w:rPr>
                <w:rFonts w:ascii="Calibri" w:hAnsi="Calibri" w:cs="Calibri"/>
              </w:rPr>
              <w:t>-related overdose</w:t>
            </w:r>
            <w:r w:rsidRPr="007A5637">
              <w:rPr>
                <w:rFonts w:ascii="Calibri" w:hAnsi="Calibri" w:cs="Calibri"/>
              </w:rPr>
              <w:t xml:space="preserve"> deaths with toxicology</w:t>
            </w:r>
          </w:p>
          <w:p w14:paraId="2C3EF861" w14:textId="77777777" w:rsidR="007A5637" w:rsidRPr="007A5637" w:rsidRDefault="007A5637" w:rsidP="007E4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N = 2244 (77%)</w:t>
            </w:r>
          </w:p>
        </w:tc>
        <w:tc>
          <w:tcPr>
            <w:tcW w:w="2338" w:type="dxa"/>
          </w:tcPr>
          <w:p w14:paraId="06CB76BC" w14:textId="15AE25BD" w:rsidR="007A5637" w:rsidRPr="007A5637" w:rsidRDefault="007A5637" w:rsidP="007E4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Opioid</w:t>
            </w:r>
            <w:r>
              <w:rPr>
                <w:rFonts w:ascii="Calibri" w:hAnsi="Calibri" w:cs="Calibri"/>
              </w:rPr>
              <w:t>-related overdose</w:t>
            </w:r>
            <w:r w:rsidRPr="007A5637">
              <w:rPr>
                <w:rFonts w:ascii="Calibri" w:hAnsi="Calibri" w:cs="Calibri"/>
              </w:rPr>
              <w:t xml:space="preserve"> deaths without toxicology</w:t>
            </w:r>
          </w:p>
          <w:p w14:paraId="4696C770" w14:textId="77777777" w:rsidR="007A5637" w:rsidRPr="007A5637" w:rsidRDefault="007A5637" w:rsidP="007E4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N = 684 (23%)</w:t>
            </w:r>
          </w:p>
        </w:tc>
        <w:tc>
          <w:tcPr>
            <w:tcW w:w="2338" w:type="dxa"/>
          </w:tcPr>
          <w:p w14:paraId="216DF5EC" w14:textId="4558E3D0" w:rsidR="007A5637" w:rsidRPr="007A5637" w:rsidRDefault="007A5637" w:rsidP="007E4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7A5637">
              <w:rPr>
                <w:rFonts w:ascii="Calibri" w:hAnsi="Calibri" w:cs="Calibri"/>
              </w:rPr>
              <w:t xml:space="preserve"> value</w:t>
            </w:r>
          </w:p>
        </w:tc>
      </w:tr>
      <w:tr w:rsidR="007A5637" w:rsidRPr="007A5637" w14:paraId="14C3FBBB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nil"/>
            </w:tcBorders>
          </w:tcPr>
          <w:p w14:paraId="57080AA0" w14:textId="77777777" w:rsidR="007A5637" w:rsidRPr="007A5637" w:rsidRDefault="007A5637" w:rsidP="007E4535">
            <w:pPr>
              <w:ind w:leftChars="-49" w:left="-2" w:hangingChars="48" w:hanging="106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Age</w:t>
            </w:r>
          </w:p>
        </w:tc>
        <w:tc>
          <w:tcPr>
            <w:tcW w:w="2337" w:type="dxa"/>
            <w:tcBorders>
              <w:bottom w:val="nil"/>
            </w:tcBorders>
          </w:tcPr>
          <w:p w14:paraId="6A8C6DF2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14:paraId="2862C43E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14:paraId="700F4481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379527C4" w14:textId="77777777" w:rsidTr="007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3D9CF9F1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11-24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4A2D778E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224 (10)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D5056BB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41 (6)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E1C1D1A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&lt;0.001</w:t>
            </w:r>
          </w:p>
        </w:tc>
      </w:tr>
      <w:tr w:rsidR="007A5637" w:rsidRPr="007A5637" w14:paraId="4F2C793B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70236251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25-44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187FAEA5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1279 (57)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55BB519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314 (46)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A3F7305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4BEBD39C" w14:textId="77777777" w:rsidTr="007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7833B448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45+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29824EA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741 (33)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1CD2177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329 (48)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589A0D5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7147BEB4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3121E569" w14:textId="77777777" w:rsidR="007A5637" w:rsidRPr="007A5637" w:rsidRDefault="007A5637" w:rsidP="007E4535">
            <w:pPr>
              <w:ind w:leftChars="-49" w:left="-2" w:hangingChars="48" w:hanging="106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Gender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7C6AA989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2F6D60C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27E45C6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0E76D2B9" w14:textId="77777777" w:rsidTr="007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686BF04E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Male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FEED65A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1674 (75)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8A1F164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469 (69)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7B67A18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0.002</w:t>
            </w:r>
          </w:p>
        </w:tc>
      </w:tr>
      <w:tr w:rsidR="007A5637" w:rsidRPr="007A5637" w14:paraId="31E72A7E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7F7EBB2D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Female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3BDFA17D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570 (25)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D4300DF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215 (31)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E8510ED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7CDDB691" w14:textId="77777777" w:rsidTr="007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0C55E7D0" w14:textId="77777777" w:rsidR="007A5637" w:rsidRPr="007A5637" w:rsidRDefault="007A5637" w:rsidP="007E4535">
            <w:pPr>
              <w:ind w:leftChars="-49" w:left="-2" w:hangingChars="48" w:hanging="106"/>
              <w:rPr>
                <w:rFonts w:ascii="Calibri" w:hAnsi="Calibri" w:cs="Calibri"/>
                <w:b w:val="0"/>
              </w:rPr>
            </w:pPr>
            <w:r w:rsidRPr="007A5637">
              <w:rPr>
                <w:rFonts w:ascii="Calibri" w:hAnsi="Calibri" w:cs="Calibri"/>
                <w:b w:val="0"/>
              </w:rPr>
              <w:t>Race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56AAC757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0AE37F5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66A5ACA9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58BC36E6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60B1DD72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White, non-Hispanic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2895986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1934 (87)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A3C2DDE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571 (82)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1B85C5D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&lt;0.001</w:t>
            </w:r>
          </w:p>
        </w:tc>
      </w:tr>
      <w:tr w:rsidR="007A5637" w:rsidRPr="007A5637" w14:paraId="1C858B8B" w14:textId="77777777" w:rsidTr="007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4792EA99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Black, non-Hispanic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A3ECFA3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94 (4)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6B09B2D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44 (6)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03DC399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3A251291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4A47077F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Hispanic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1F76F3A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186 (8)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C72C09D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48 (7)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95417E2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12662B97" w14:textId="77777777" w:rsidTr="007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3B4619DF" w14:textId="3AB28E9A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Other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0B5B47A6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21 (1)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7D8514B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30 (4)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0B3879B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17307F8C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74A2F101" w14:textId="77777777" w:rsidR="007A5637" w:rsidRPr="007A5637" w:rsidRDefault="007A5637" w:rsidP="007E4535">
            <w:pPr>
              <w:ind w:leftChars="-49" w:left="-2" w:hangingChars="48" w:hanging="106"/>
              <w:rPr>
                <w:rFonts w:ascii="Calibri" w:hAnsi="Calibri" w:cs="Calibri"/>
                <w:b w:val="0"/>
              </w:rPr>
            </w:pPr>
            <w:r w:rsidRPr="007A5637">
              <w:rPr>
                <w:rFonts w:ascii="Calibri" w:hAnsi="Calibri" w:cs="Calibri"/>
                <w:b w:val="0"/>
              </w:rPr>
              <w:t>Residence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2A04B990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24F8914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04A8DD9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5637" w:rsidRPr="007A5637" w14:paraId="3702875E" w14:textId="77777777" w:rsidTr="007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3A99DCCD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>Non-Rural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3BB86E21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2088 (93)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D65B0AC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632 (92)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3137714E" w14:textId="77777777" w:rsidR="007A5637" w:rsidRPr="007A5637" w:rsidRDefault="007A5637" w:rsidP="007E4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0.562</w:t>
            </w:r>
          </w:p>
        </w:tc>
      </w:tr>
      <w:tr w:rsidR="007A5637" w:rsidRPr="007A5637" w14:paraId="0FA0A457" w14:textId="77777777" w:rsidTr="007A5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single" w:sz="4" w:space="0" w:color="auto"/>
            </w:tcBorders>
          </w:tcPr>
          <w:p w14:paraId="770FE64E" w14:textId="77777777" w:rsidR="007A5637" w:rsidRPr="007A5637" w:rsidRDefault="007A5637" w:rsidP="007E4535">
            <w:pPr>
              <w:ind w:firstLineChars="100" w:firstLine="22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7A5637">
              <w:rPr>
                <w:rFonts w:ascii="Calibri" w:eastAsia="Times New Roman" w:hAnsi="Calibri" w:cs="Calibri"/>
                <w:b w:val="0"/>
                <w:color w:val="000000"/>
              </w:rPr>
              <w:t xml:space="preserve">Rural 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14:paraId="38033147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156 (7)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6D863CD8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5637">
              <w:rPr>
                <w:rFonts w:ascii="Calibri" w:hAnsi="Calibri" w:cs="Calibri"/>
              </w:rPr>
              <w:t>52 (8)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51D91252" w14:textId="77777777" w:rsidR="007A5637" w:rsidRPr="007A5637" w:rsidRDefault="007A5637" w:rsidP="007E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3E7FA91" w14:textId="77777777" w:rsidR="007A5637" w:rsidRDefault="007A563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722A73B" w14:textId="002317D8" w:rsidR="00A25CA6" w:rsidRPr="00AC242E" w:rsidRDefault="00A25CA6" w:rsidP="00A25CA6">
      <w:pPr>
        <w:spacing w:after="0"/>
        <w:rPr>
          <w:rFonts w:ascii="Calibri" w:hAnsi="Calibri" w:cs="Calibri"/>
          <w:b/>
        </w:rPr>
      </w:pPr>
      <w:r w:rsidRPr="00AC242E">
        <w:rPr>
          <w:rFonts w:ascii="Calibri" w:hAnsi="Calibri" w:cs="Calibri"/>
          <w:b/>
        </w:rPr>
        <w:lastRenderedPageBreak/>
        <w:t xml:space="preserve">Supplementary Table </w:t>
      </w:r>
      <w:r>
        <w:rPr>
          <w:rFonts w:ascii="Calibri" w:hAnsi="Calibri" w:cs="Calibri"/>
          <w:b/>
        </w:rPr>
        <w:t>3</w:t>
      </w:r>
      <w:r w:rsidRPr="00AC242E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Breakdown of </w:t>
      </w:r>
      <w:r w:rsidR="005B1422">
        <w:rPr>
          <w:rFonts w:ascii="Calibri" w:hAnsi="Calibri" w:cs="Calibri"/>
          <w:b/>
        </w:rPr>
        <w:t xml:space="preserve">type of opioid on toxicology among </w:t>
      </w:r>
      <w:r w:rsidR="00523B50">
        <w:rPr>
          <w:rFonts w:ascii="Calibri" w:hAnsi="Calibri" w:cs="Calibri"/>
          <w:b/>
        </w:rPr>
        <w:t xml:space="preserve">each opioid-related overdose death </w:t>
      </w:r>
      <w:r w:rsidR="00950A25">
        <w:rPr>
          <w:rFonts w:ascii="Calibri" w:hAnsi="Calibri" w:cs="Calibri"/>
          <w:b/>
        </w:rPr>
        <w:t>categories</w:t>
      </w:r>
    </w:p>
    <w:tbl>
      <w:tblPr>
        <w:tblStyle w:val="TableGrid"/>
        <w:tblW w:w="10744" w:type="dxa"/>
        <w:tblInd w:w="-394" w:type="dxa"/>
        <w:tblLook w:val="04A0" w:firstRow="1" w:lastRow="0" w:firstColumn="1" w:lastColumn="0" w:noHBand="0" w:noVBand="1"/>
      </w:tblPr>
      <w:tblGrid>
        <w:gridCol w:w="3094"/>
        <w:gridCol w:w="1440"/>
        <w:gridCol w:w="2340"/>
        <w:gridCol w:w="2520"/>
        <w:gridCol w:w="1350"/>
      </w:tblGrid>
      <w:tr w:rsidR="00A25CA6" w:rsidRPr="00AC242E" w14:paraId="7C22B72D" w14:textId="77777777" w:rsidTr="00063F98">
        <w:tc>
          <w:tcPr>
            <w:tcW w:w="3094" w:type="dxa"/>
            <w:tcBorders>
              <w:left w:val="nil"/>
              <w:bottom w:val="single" w:sz="4" w:space="0" w:color="auto"/>
              <w:right w:val="nil"/>
            </w:tcBorders>
          </w:tcPr>
          <w:p w14:paraId="17766EA2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357EFB6B" w14:textId="77777777" w:rsidR="00A25CA6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AC242E">
              <w:rPr>
                <w:rFonts w:ascii="Calibri" w:hAnsi="Calibri" w:cs="Calibri"/>
              </w:rPr>
              <w:t xml:space="preserve">Opioid alone </w:t>
            </w:r>
          </w:p>
          <w:p w14:paraId="6380050C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AC242E">
              <w:rPr>
                <w:rFonts w:ascii="Calibri" w:hAnsi="Calibri" w:cs="Calibri"/>
              </w:rPr>
              <w:t>(N =</w:t>
            </w:r>
            <w:r>
              <w:rPr>
                <w:rFonts w:ascii="Calibri" w:hAnsi="Calibri" w:cs="Calibri"/>
              </w:rPr>
              <w:t xml:space="preserve"> 389</w:t>
            </w:r>
            <w:r w:rsidRPr="00AC242E">
              <w:rPr>
                <w:rFonts w:ascii="Calibri" w:hAnsi="Calibri" w:cs="Calibri"/>
              </w:rPr>
              <w:t>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414E7AA5" w14:textId="66E2A73B" w:rsidR="00A25CA6" w:rsidRPr="00AC242E" w:rsidRDefault="00A25CA6" w:rsidP="00A25C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AC242E">
              <w:rPr>
                <w:rFonts w:ascii="Calibri" w:hAnsi="Calibri" w:cs="Calibri"/>
                <w:color w:val="000000"/>
              </w:rPr>
              <w:t xml:space="preserve">Opioids + Other substances without stimulants </w:t>
            </w:r>
            <w:r w:rsidRPr="00AC242E">
              <w:rPr>
                <w:rFonts w:ascii="Calibri" w:hAnsi="Calibri" w:cs="Calibri"/>
              </w:rPr>
              <w:t>(N =</w:t>
            </w:r>
            <w:r>
              <w:rPr>
                <w:rFonts w:ascii="Calibri" w:hAnsi="Calibri" w:cs="Calibri"/>
              </w:rPr>
              <w:t xml:space="preserve"> 1</w:t>
            </w:r>
            <w:r w:rsidR="005B1422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047</w:t>
            </w:r>
            <w:r w:rsidRPr="00AC242E">
              <w:rPr>
                <w:rFonts w:ascii="Calibri" w:hAnsi="Calibri" w:cs="Calibri"/>
              </w:rPr>
              <w:t>)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7AC3EB3F" w14:textId="77777777" w:rsidR="00A25CA6" w:rsidRPr="00AC242E" w:rsidRDefault="00A25CA6" w:rsidP="00A25C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AC242E">
              <w:rPr>
                <w:rFonts w:ascii="Calibri" w:hAnsi="Calibri" w:cs="Calibri"/>
                <w:color w:val="000000"/>
              </w:rPr>
              <w:t>Opioids +/- Other substances</w:t>
            </w:r>
          </w:p>
          <w:p w14:paraId="4924D1E3" w14:textId="77777777" w:rsidR="00A25CA6" w:rsidRPr="00AC242E" w:rsidRDefault="00A25CA6" w:rsidP="00A25C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AC242E">
              <w:rPr>
                <w:rFonts w:ascii="Calibri" w:hAnsi="Calibri" w:cs="Calibri"/>
                <w:color w:val="000000"/>
              </w:rPr>
              <w:t xml:space="preserve">with stimulants </w:t>
            </w:r>
            <w:r w:rsidRPr="00AC242E">
              <w:rPr>
                <w:rFonts w:ascii="Calibri" w:hAnsi="Calibri" w:cs="Calibri"/>
              </w:rPr>
              <w:t xml:space="preserve">(N = </w:t>
            </w:r>
            <w:r>
              <w:rPr>
                <w:rFonts w:ascii="Calibri" w:hAnsi="Calibri" w:cs="Calibri"/>
              </w:rPr>
              <w:t>808</w:t>
            </w:r>
            <w:r w:rsidRPr="00AC242E">
              <w:rPr>
                <w:rFonts w:ascii="Calibri" w:hAnsi="Calibri" w:cs="Calibri"/>
              </w:rPr>
              <w:t>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2494D100" w14:textId="7D682A72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AC242E">
              <w:rPr>
                <w:rFonts w:ascii="Calibri" w:hAnsi="Calibri" w:cs="Calibri"/>
              </w:rPr>
              <w:t>Total</w:t>
            </w:r>
          </w:p>
        </w:tc>
      </w:tr>
      <w:tr w:rsidR="00A25CA6" w:rsidRPr="00AC242E" w14:paraId="392A1A54" w14:textId="77777777" w:rsidTr="00063F98">
        <w:trPr>
          <w:trHeight w:val="440"/>
        </w:trPr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A32CE" w14:textId="2E2C0F33" w:rsidR="00A25CA6" w:rsidRPr="00AC242E" w:rsidRDefault="00A25CA6" w:rsidP="00063F98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Opiate alone</w:t>
            </w:r>
            <w:r w:rsidR="005B1422">
              <w:rPr>
                <w:rFonts w:ascii="Calibri" w:hAnsi="Calibri" w:cs="Calibri"/>
                <w:b/>
                <w:vertAlign w:val="superscript"/>
              </w:rPr>
              <w:t>*</w:t>
            </w:r>
            <w:r>
              <w:rPr>
                <w:rFonts w:ascii="Calibri" w:hAnsi="Calibri" w:cs="Calibri"/>
                <w:b/>
              </w:rPr>
              <w:t>, n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DBF39B" w14:textId="7990E67E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D7B4B" w14:textId="0DCB68EC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B1422">
              <w:rPr>
                <w:rFonts w:ascii="Calibri" w:hAnsi="Calibri" w:cs="Calibri"/>
              </w:rPr>
              <w:t xml:space="preserve"> (&lt;1%)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FBAFE" w14:textId="09788AA1" w:rsidR="00A25CA6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B1422">
              <w:rPr>
                <w:rFonts w:ascii="Calibri" w:hAnsi="Calibri" w:cs="Calibri"/>
              </w:rPr>
              <w:t xml:space="preserve"> (&lt;1%)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859ECD" w14:textId="77777777" w:rsidR="00A25CA6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(&lt;1%)</w:t>
            </w:r>
          </w:p>
        </w:tc>
      </w:tr>
      <w:tr w:rsidR="00A25CA6" w:rsidRPr="00AC242E" w14:paraId="6B707AFE" w14:textId="77777777" w:rsidTr="00063F98">
        <w:trPr>
          <w:trHeight w:val="44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18AE3DEC" w14:textId="0F07B434" w:rsidR="00A25CA6" w:rsidRPr="00AC242E" w:rsidRDefault="00A25CA6" w:rsidP="00063F98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 w:rsidRPr="00AC242E">
              <w:rPr>
                <w:rFonts w:ascii="Calibri" w:hAnsi="Calibri" w:cs="Calibri"/>
                <w:b/>
              </w:rPr>
              <w:t>Fentanyl</w:t>
            </w:r>
            <w:r>
              <w:rPr>
                <w:rFonts w:ascii="Calibri" w:hAnsi="Calibri" w:cs="Calibri"/>
                <w:b/>
              </w:rPr>
              <w:t>/</w:t>
            </w:r>
            <w:r w:rsidRPr="00AC242E">
              <w:rPr>
                <w:rFonts w:ascii="Calibri" w:hAnsi="Calibri" w:cs="Calibri"/>
                <w:b/>
              </w:rPr>
              <w:t xml:space="preserve">Heroin </w:t>
            </w:r>
            <w:r>
              <w:rPr>
                <w:rFonts w:ascii="Calibri" w:hAnsi="Calibri" w:cs="Calibri"/>
                <w:b/>
              </w:rPr>
              <w:t>a</w:t>
            </w:r>
            <w:r w:rsidRPr="00AC242E">
              <w:rPr>
                <w:rFonts w:ascii="Calibri" w:hAnsi="Calibri" w:cs="Calibri"/>
                <w:b/>
              </w:rPr>
              <w:t>lone, n (%)</w:t>
            </w:r>
            <w:r w:rsidRPr="00AC242E">
              <w:rPr>
                <w:rFonts w:ascii="Calibri" w:hAnsi="Calibri" w:cs="Calibri"/>
                <w:vertAlign w:val="superscript"/>
              </w:rPr>
              <w:t>*</w:t>
            </w:r>
            <w:r w:rsidR="005B1422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A3B1B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 (77%)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79BD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 (69%)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161D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 (74%)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10D5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1,601 (72%)</w:t>
            </w:r>
          </w:p>
        </w:tc>
      </w:tr>
      <w:tr w:rsidR="00A25CA6" w:rsidRPr="00AC242E" w14:paraId="51A95235" w14:textId="77777777" w:rsidTr="00063F98">
        <w:trPr>
          <w:trHeight w:val="44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77E7481B" w14:textId="3598DB2D" w:rsidR="00A25CA6" w:rsidRPr="00AC242E" w:rsidRDefault="00A25CA6" w:rsidP="00063F98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 w:rsidRPr="00AC242E">
              <w:rPr>
                <w:rFonts w:ascii="Calibri" w:hAnsi="Calibri" w:cs="Calibri"/>
                <w:b/>
              </w:rPr>
              <w:t xml:space="preserve">Prescription </w:t>
            </w:r>
            <w:r>
              <w:rPr>
                <w:rFonts w:ascii="Calibri" w:hAnsi="Calibri" w:cs="Calibri"/>
                <w:b/>
              </w:rPr>
              <w:t>opioid a</w:t>
            </w:r>
            <w:r w:rsidRPr="00AC242E">
              <w:rPr>
                <w:rFonts w:ascii="Calibri" w:hAnsi="Calibri" w:cs="Calibri"/>
                <w:b/>
              </w:rPr>
              <w:t>lone,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3EB9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(9%)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366C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 (10%)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8069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(7%)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184E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(9%)</w:t>
            </w:r>
          </w:p>
        </w:tc>
      </w:tr>
      <w:tr w:rsidR="00A25CA6" w:rsidRPr="00AC242E" w14:paraId="4BD8AFB2" w14:textId="77777777" w:rsidTr="00063F98"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3AE57" w14:textId="29B7F92D" w:rsidR="00A25CA6" w:rsidRPr="00AC242E" w:rsidRDefault="00A25CA6" w:rsidP="00063F98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 w:rsidRPr="00AC242E">
              <w:rPr>
                <w:rFonts w:ascii="Calibri" w:hAnsi="Calibri" w:cs="Calibri"/>
                <w:b/>
              </w:rPr>
              <w:t>Both Fentanyl/Heroin and</w:t>
            </w:r>
            <w:r w:rsidR="00063F98">
              <w:rPr>
                <w:rFonts w:ascii="Calibri" w:hAnsi="Calibri" w:cs="Calibri"/>
                <w:b/>
              </w:rPr>
              <w:t xml:space="preserve"> </w:t>
            </w:r>
            <w:r w:rsidRPr="00AC242E">
              <w:rPr>
                <w:rFonts w:ascii="Calibri" w:hAnsi="Calibri" w:cs="Calibri"/>
                <w:b/>
              </w:rPr>
              <w:t>Prescription,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3FCE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(14%)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B9E0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(21%)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7968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(19%)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32A5" w14:textId="77777777" w:rsidR="00A25CA6" w:rsidRPr="00AC242E" w:rsidRDefault="00A25CA6" w:rsidP="00A25CA6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 (19%)</w:t>
            </w:r>
          </w:p>
        </w:tc>
      </w:tr>
      <w:tr w:rsidR="00A25CA6" w:rsidRPr="00AC242E" w14:paraId="3F848D9C" w14:textId="77777777" w:rsidTr="00063F98">
        <w:trPr>
          <w:trHeight w:val="350"/>
        </w:trPr>
        <w:tc>
          <w:tcPr>
            <w:tcW w:w="10744" w:type="dxa"/>
            <w:gridSpan w:val="5"/>
            <w:tcBorders>
              <w:left w:val="nil"/>
              <w:bottom w:val="nil"/>
              <w:right w:val="nil"/>
            </w:tcBorders>
          </w:tcPr>
          <w:p w14:paraId="197846CF" w14:textId="583E36DC" w:rsidR="005B1422" w:rsidRPr="005B1422" w:rsidRDefault="00A25CA6" w:rsidP="00B52394">
            <w:pPr>
              <w:spacing w:after="0"/>
              <w:contextualSpacing/>
              <w:rPr>
                <w:rFonts w:ascii="Calibri" w:hAnsi="Calibri" w:cs="Calibri"/>
              </w:rPr>
            </w:pPr>
            <w:r w:rsidRPr="00AC242E">
              <w:rPr>
                <w:rFonts w:ascii="Calibri" w:hAnsi="Calibri" w:cs="Calibri"/>
                <w:vertAlign w:val="superscript"/>
              </w:rPr>
              <w:t>*</w:t>
            </w:r>
            <w:r w:rsidR="005B1422">
              <w:rPr>
                <w:rFonts w:ascii="Calibri" w:hAnsi="Calibri" w:cs="Calibri"/>
              </w:rPr>
              <w:t xml:space="preserve"> “Opiate” on toxicology report is an uncharacterized or undetermined opioid from the medical examiner’s report</w:t>
            </w:r>
            <w:r w:rsidR="00950A25">
              <w:rPr>
                <w:rFonts w:ascii="Calibri" w:hAnsi="Calibri" w:cs="Calibri"/>
              </w:rPr>
              <w:t>—unknown if it is prescription or illicit</w:t>
            </w:r>
          </w:p>
          <w:p w14:paraId="057A4A64" w14:textId="5D56697F" w:rsidR="00A25CA6" w:rsidRPr="00AC242E" w:rsidRDefault="005B1422" w:rsidP="00B52394">
            <w:pPr>
              <w:spacing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vertAlign w:val="superscript"/>
              </w:rPr>
              <w:t>**</w:t>
            </w:r>
            <w:r w:rsidR="00950A25">
              <w:rPr>
                <w:rFonts w:ascii="Calibri" w:hAnsi="Calibri" w:cs="Calibri"/>
                <w:vertAlign w:val="superscript"/>
              </w:rPr>
              <w:t xml:space="preserve"> </w:t>
            </w:r>
            <w:r w:rsidR="00A25CA6" w:rsidRPr="00AC242E">
              <w:rPr>
                <w:rFonts w:ascii="Calibri" w:hAnsi="Calibri" w:cs="Calibri"/>
              </w:rPr>
              <w:t>The proportion is shown as the column percentage.</w:t>
            </w:r>
          </w:p>
        </w:tc>
      </w:tr>
    </w:tbl>
    <w:p w14:paraId="60D8286E" w14:textId="3D868D43" w:rsidR="00583FB4" w:rsidRDefault="00583FB4">
      <w:pPr>
        <w:spacing w:after="0"/>
      </w:pPr>
      <w:r>
        <w:br w:type="page"/>
      </w:r>
    </w:p>
    <w:tbl>
      <w:tblPr>
        <w:tblW w:w="10026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3006"/>
        <w:gridCol w:w="3330"/>
        <w:gridCol w:w="3690"/>
      </w:tblGrid>
      <w:tr w:rsidR="00583FB4" w:rsidRPr="00583FB4" w14:paraId="23912920" w14:textId="77777777" w:rsidTr="007E4535">
        <w:trPr>
          <w:trHeight w:val="960"/>
        </w:trPr>
        <w:tc>
          <w:tcPr>
            <w:tcW w:w="100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8683FC" w14:textId="0190667B" w:rsidR="00583FB4" w:rsidRPr="00583FB4" w:rsidRDefault="00583FB4" w:rsidP="00583FB4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Supplementary </w:t>
            </w:r>
            <w:r w:rsidRPr="00583F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572E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583F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 Multinomial regression model results of opioid-related deaths with accompanying toxicology results in Massachusetts, 2014-2015</w:t>
            </w:r>
            <w:r w:rsidRPr="00583FB4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  <w:p w14:paraId="2882234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83FB4" w:rsidRPr="00583FB4" w14:paraId="34551864" w14:textId="77777777" w:rsidTr="007E4535">
        <w:trPr>
          <w:trHeight w:val="134"/>
        </w:trPr>
        <w:tc>
          <w:tcPr>
            <w:tcW w:w="30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E3768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b/>
                <w:color w:val="000000"/>
              </w:rPr>
              <w:t>Characteristics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72B4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b/>
                <w:color w:val="000000"/>
              </w:rPr>
              <w:t xml:space="preserve">Opioid-related death </w:t>
            </w:r>
            <w:proofErr w:type="spellStart"/>
            <w:r w:rsidRPr="00583FB4">
              <w:rPr>
                <w:rFonts w:ascii="Calibri" w:hAnsi="Calibri" w:cs="Calibri"/>
                <w:b/>
                <w:color w:val="000000"/>
              </w:rPr>
              <w:t>toxicology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b</w:t>
            </w:r>
            <w:proofErr w:type="spellEnd"/>
          </w:p>
        </w:tc>
      </w:tr>
      <w:tr w:rsidR="00583FB4" w:rsidRPr="00583FB4" w14:paraId="0A6A2253" w14:textId="77777777" w:rsidTr="007E4535">
        <w:trPr>
          <w:trHeight w:val="674"/>
        </w:trPr>
        <w:tc>
          <w:tcPr>
            <w:tcW w:w="30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9591F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E72B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Opioids + Other substances, </w:t>
            </w:r>
            <w:r w:rsidRPr="00583FB4">
              <w:rPr>
                <w:rFonts w:ascii="Calibri" w:hAnsi="Calibri" w:cs="Calibri"/>
                <w:b/>
                <w:color w:val="000000"/>
              </w:rPr>
              <w:t>without stimulants</w:t>
            </w:r>
          </w:p>
          <w:p w14:paraId="0D53041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vs. Opioids only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F94C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Opioids +/- Other substances</w:t>
            </w:r>
          </w:p>
          <w:p w14:paraId="6A8B949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b/>
                <w:color w:val="000000"/>
              </w:rPr>
              <w:t xml:space="preserve">with stimulants </w:t>
            </w:r>
          </w:p>
          <w:p w14:paraId="07D17B0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vs. Opioids only</w:t>
            </w:r>
          </w:p>
        </w:tc>
      </w:tr>
      <w:tr w:rsidR="00583FB4" w:rsidRPr="00583FB4" w14:paraId="5CB026C9" w14:textId="77777777" w:rsidTr="007E4535">
        <w:trPr>
          <w:trHeight w:val="32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38F0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23D2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103E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6028A083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CCCD3B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11-24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E4215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2E040F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216F160B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1A2B38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25-44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CF32F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1.18 (0.82-1.70)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CE3FD0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1.84 (1.23-2.76)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</w:tr>
      <w:tr w:rsidR="00583FB4" w:rsidRPr="00583FB4" w14:paraId="38F560AB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DAD5A5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45+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6EC9B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583FB4">
              <w:rPr>
                <w:rFonts w:ascii="Calibri" w:hAnsi="Calibri" w:cs="Calibri"/>
                <w:color w:val="000000"/>
              </w:rPr>
              <w:t>1.32 (0.89-1.97)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B3D47B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1.70 (1.10-2.64)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</w:tr>
      <w:tr w:rsidR="00583FB4" w:rsidRPr="00583FB4" w14:paraId="28FA5C69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88A5F8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7EBA7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C468E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429474E5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7B7FBD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Male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8453CD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33B3CB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3A3857CA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455555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Female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B72CB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0.96 (0.72-1.29)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63B40F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1.23 (0.91-1.65)</w:t>
            </w:r>
          </w:p>
        </w:tc>
      </w:tr>
      <w:tr w:rsidR="00583FB4" w:rsidRPr="00583FB4" w14:paraId="0577DE9B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E8CB73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75DF38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A554D0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4C000628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2A39F7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White, non-Hispanic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29C38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F3E81A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3F03B3E6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7F9125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Black, non-Hispanic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942277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0.80 (0.41-1.57)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F1DEF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1.75 (0.93-3.30)</w:t>
            </w:r>
          </w:p>
        </w:tc>
      </w:tr>
      <w:tr w:rsidR="00583FB4" w:rsidRPr="00583FB4" w14:paraId="1AA117E6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C19564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Hispanic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106FF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0.60 (0.38-0.94)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8A4F03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1.31 (0.86-1.99)</w:t>
            </w:r>
          </w:p>
        </w:tc>
      </w:tr>
      <w:tr w:rsidR="00583FB4" w:rsidRPr="00583FB4" w14:paraId="5414AEEB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11E8DD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Other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33A52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0.64 (0.26-1.55)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452B5C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0.49 (0.18-1.33)</w:t>
            </w:r>
          </w:p>
        </w:tc>
      </w:tr>
      <w:tr w:rsidR="00583FB4" w:rsidRPr="00583FB4" w14:paraId="1DCCBB70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887517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Residence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4D829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96FF4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2866394D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23F6D5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Non-Rural</w:t>
            </w:r>
            <w:r w:rsidRPr="00583FB4" w:rsidDel="00BC7F9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52582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00DB1A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610EAC97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4B117B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Rural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8E6A4D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0.73(0.48-1.11)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34D8C5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0.52(0.33-0.84)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</w:tr>
      <w:tr w:rsidR="00583FB4" w:rsidRPr="00583FB4" w14:paraId="2E5B23A4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B0010C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HIV status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C902F5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749A9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226528FE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973186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Negative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F7D033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9F1F58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581FA14C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DE24FC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Positive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1C0F7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1.71 (0.37-7.94)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5891CB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2.21 (0.48-10.07)</w:t>
            </w:r>
          </w:p>
        </w:tc>
      </w:tr>
      <w:tr w:rsidR="00583FB4" w:rsidRPr="00583FB4" w14:paraId="182F1E02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07BD45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583FB4">
              <w:rPr>
                <w:rFonts w:ascii="Calibri" w:hAnsi="Calibri" w:cs="Calibri"/>
                <w:color w:val="000000"/>
              </w:rPr>
              <w:t>Homelessness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8F32B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598F65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3A4FAD3C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29EE14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34731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B3062E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14912728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DB5A4F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85C30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1.03 (0.71-1.49)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2990CE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1.29 (0.88-1.87)</w:t>
            </w:r>
          </w:p>
        </w:tc>
      </w:tr>
      <w:tr w:rsidR="00583FB4" w:rsidRPr="00583FB4" w14:paraId="5A1FA011" w14:textId="77777777" w:rsidTr="007E4535">
        <w:trPr>
          <w:trHeight w:val="320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7DB3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Mental health </w:t>
            </w:r>
            <w:proofErr w:type="spellStart"/>
            <w:r w:rsidRPr="00583FB4">
              <w:rPr>
                <w:rFonts w:ascii="Calibri" w:hAnsi="Calibri" w:cs="Calibri"/>
                <w:color w:val="000000"/>
              </w:rPr>
              <w:t>comorbidity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C16A8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055139BD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A4C97C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675A7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06C21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73157E82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820B66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02E78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1.83 (1.43-2.36)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C79433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1.56 (1.20-2.03)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</w:tr>
      <w:tr w:rsidR="00583FB4" w:rsidRPr="00583FB4" w14:paraId="722574EE" w14:textId="77777777" w:rsidTr="007E4535">
        <w:trPr>
          <w:trHeight w:val="320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32B0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Incarceration in past 12 </w:t>
            </w:r>
            <w:proofErr w:type="spellStart"/>
            <w:r w:rsidRPr="00583FB4">
              <w:rPr>
                <w:rFonts w:ascii="Calibri" w:hAnsi="Calibri" w:cs="Calibri"/>
                <w:color w:val="000000"/>
              </w:rPr>
              <w:t>months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0B6714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14797ADC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203C62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D47BC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39DB6C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789BEE0E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36B14D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0BBB4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0.53 (0.36-0.79)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31B47B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1.05 (0.72-1.53)</w:t>
            </w:r>
          </w:p>
        </w:tc>
      </w:tr>
      <w:tr w:rsidR="00583FB4" w:rsidRPr="00583FB4" w14:paraId="57CEE150" w14:textId="77777777" w:rsidTr="007E4535">
        <w:trPr>
          <w:trHeight w:val="320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88B8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MOUD in the past 12 </w:t>
            </w:r>
            <w:proofErr w:type="spellStart"/>
            <w:r w:rsidRPr="00583FB4">
              <w:rPr>
                <w:rFonts w:ascii="Calibri" w:hAnsi="Calibri" w:cs="Calibri"/>
                <w:color w:val="000000"/>
              </w:rPr>
              <w:t>months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FDE221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71DFE1A7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6A697C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1A4FD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C76BA8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5D34223F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0BE7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81D1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0.93 (0.70-1.24)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011B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1.16 (0.86-1.55)</w:t>
            </w:r>
          </w:p>
        </w:tc>
      </w:tr>
      <w:tr w:rsidR="00583FB4" w:rsidRPr="00583FB4" w14:paraId="7A40D90F" w14:textId="77777777" w:rsidTr="007E4535">
        <w:trPr>
          <w:trHeight w:val="32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412AE6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583FB4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Odds</w:t>
            </w:r>
            <w:proofErr w:type="spellEnd"/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ratios with 95% confidence intervals</w:t>
            </w:r>
          </w:p>
          <w:p w14:paraId="4BB9148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b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Comparator</w:t>
            </w:r>
            <w:proofErr w:type="spellEnd"/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group for odds ratios is opioid-related deaths with only opioids present on toxicology</w:t>
            </w:r>
          </w:p>
          <w:p w14:paraId="165690D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Homelessness</w:t>
            </w:r>
            <w:proofErr w:type="spellEnd"/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during any period of time from 2011-2015</w:t>
            </w:r>
          </w:p>
          <w:p w14:paraId="11FE2D6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Includes</w:t>
            </w:r>
            <w:proofErr w:type="spellEnd"/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depression, bipolar disorder, schizophrenia</w:t>
            </w:r>
          </w:p>
          <w:p w14:paraId="5F20272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e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Any</w:t>
            </w:r>
            <w:proofErr w:type="spellEnd"/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release from prison or jail in Massachusetts in the 12 months that preceded the fatal overdose</w:t>
            </w:r>
          </w:p>
          <w:p w14:paraId="6F8AC42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lastRenderedPageBreak/>
              <w:t>f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Medication</w:t>
            </w:r>
            <w:proofErr w:type="spellEnd"/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opioid use disorder; includes naltrexone, methadone, or buprenorphine in the 12 months that preceded the fatal overdose</w:t>
            </w:r>
          </w:p>
          <w:p w14:paraId="3993125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Statistically significant with p value &lt;0.05</w:t>
            </w:r>
          </w:p>
          <w:p w14:paraId="5A3339E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4D4109B" w14:textId="77777777" w:rsidR="00583FB4" w:rsidRPr="00583FB4" w:rsidRDefault="00583FB4" w:rsidP="00583FB4">
      <w:pPr>
        <w:spacing w:after="0"/>
        <w:rPr>
          <w:sz w:val="24"/>
          <w:szCs w:val="24"/>
        </w:rPr>
      </w:pPr>
    </w:p>
    <w:p w14:paraId="07FA6034" w14:textId="768DE365" w:rsidR="00583FB4" w:rsidRDefault="00583FB4">
      <w:pPr>
        <w:spacing w:after="0"/>
      </w:pPr>
      <w:r>
        <w:br w:type="page"/>
      </w:r>
    </w:p>
    <w:tbl>
      <w:tblPr>
        <w:tblW w:w="10926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3006"/>
        <w:gridCol w:w="2538"/>
        <w:gridCol w:w="2772"/>
        <w:gridCol w:w="2610"/>
      </w:tblGrid>
      <w:tr w:rsidR="00583FB4" w:rsidRPr="00583FB4" w14:paraId="79038588" w14:textId="77777777" w:rsidTr="007E4535">
        <w:trPr>
          <w:trHeight w:val="320"/>
        </w:trPr>
        <w:tc>
          <w:tcPr>
            <w:tcW w:w="10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32A1E" w14:textId="588DF713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Supplementary </w:t>
            </w:r>
            <w:r w:rsidRPr="00583F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572E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583F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 Results of the secondary analysis multinomial regression model of opioid-related deaths with accompanying toxicology results in Massachusetts, 2014-2015</w:t>
            </w:r>
            <w:r w:rsidRPr="00583FB4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583FB4" w:rsidRPr="00583FB4" w14:paraId="44901FC8" w14:textId="77777777" w:rsidTr="007E4535">
        <w:trPr>
          <w:trHeight w:val="251"/>
        </w:trPr>
        <w:tc>
          <w:tcPr>
            <w:tcW w:w="30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269AE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b/>
                <w:color w:val="000000"/>
              </w:rPr>
              <w:t>Characteristics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2854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b/>
                <w:color w:val="000000"/>
              </w:rPr>
              <w:t>Opioid-related death toxicology</w:t>
            </w:r>
          </w:p>
        </w:tc>
      </w:tr>
      <w:tr w:rsidR="00583FB4" w:rsidRPr="00583FB4" w14:paraId="68268F5A" w14:textId="77777777" w:rsidTr="007E4535">
        <w:trPr>
          <w:trHeight w:val="960"/>
        </w:trPr>
        <w:tc>
          <w:tcPr>
            <w:tcW w:w="30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20027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B5BA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Opioids + </w:t>
            </w:r>
            <w:r w:rsidRPr="00583FB4">
              <w:rPr>
                <w:rFonts w:ascii="Calibri" w:hAnsi="Calibri" w:cs="Calibri"/>
                <w:b/>
                <w:color w:val="000000"/>
              </w:rPr>
              <w:t>stimulants</w:t>
            </w:r>
            <w:r w:rsidRPr="00583FB4">
              <w:rPr>
                <w:rFonts w:ascii="Calibri" w:hAnsi="Calibri" w:cs="Calibri"/>
                <w:color w:val="000000"/>
              </w:rPr>
              <w:t>, but no other substances</w:t>
            </w:r>
          </w:p>
          <w:p w14:paraId="61C8205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vs. opioids only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‡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E4B9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Opioids + other substances, </w:t>
            </w:r>
            <w:r w:rsidRPr="00583FB4">
              <w:rPr>
                <w:rFonts w:ascii="Calibri" w:hAnsi="Calibri" w:cs="Calibri"/>
                <w:b/>
                <w:color w:val="000000"/>
              </w:rPr>
              <w:t>without stimulants</w:t>
            </w:r>
          </w:p>
          <w:p w14:paraId="4EF644A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vs. opioids only</w:t>
            </w:r>
            <w:r w:rsidRPr="00583FB4" w:rsidDel="009D3523">
              <w:rPr>
                <w:rFonts w:ascii="Calibri" w:hAnsi="Calibri" w:cs="Calibri"/>
                <w:color w:val="000000"/>
              </w:rPr>
              <w:t xml:space="preserve"> 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‡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4BD5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Opioids + other substances +</w:t>
            </w:r>
            <w:r w:rsidRPr="00583FB4">
              <w:rPr>
                <w:rFonts w:ascii="Calibri" w:hAnsi="Calibri" w:cs="Calibri"/>
                <w:b/>
                <w:color w:val="000000"/>
              </w:rPr>
              <w:t xml:space="preserve"> stimulants</w:t>
            </w:r>
          </w:p>
          <w:p w14:paraId="28D0AA6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vs. opioids only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‡</w:t>
            </w:r>
          </w:p>
        </w:tc>
      </w:tr>
      <w:tr w:rsidR="00583FB4" w:rsidRPr="00583FB4" w14:paraId="39F39D29" w14:textId="77777777" w:rsidTr="007E4535">
        <w:trPr>
          <w:trHeight w:val="32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670A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C5AE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9595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63D1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04BB84BD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1E111F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11-24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27C574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372C168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682E0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744B289A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8DFFC3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25-44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3DC5EC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1.56 (0.86-2.83)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82C5E4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1.18 (0.82-1.71)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2A3BF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1.95 (1.26-3.02)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</w:tr>
      <w:tr w:rsidR="00583FB4" w:rsidRPr="00583FB4" w14:paraId="3AD995A7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618CC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45+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362EA2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583FB4">
              <w:rPr>
                <w:rFonts w:ascii="Calibri" w:hAnsi="Calibri" w:cs="Calibri"/>
                <w:color w:val="000000"/>
              </w:rPr>
              <w:t>1.67 (0.88-3.16)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34BD28D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1.32 (0.89-1.97)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D5A9A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1.71 (1.07-2.75)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 xml:space="preserve"> *</w:t>
            </w:r>
          </w:p>
        </w:tc>
      </w:tr>
      <w:tr w:rsidR="00583FB4" w:rsidRPr="00583FB4" w14:paraId="234E60F1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84EED6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6F74C9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840DB4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27DCC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7F9331BD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0E9C76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Male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394A48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87963A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3F1D55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05E71DD6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CE8218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Female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05A703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1.06 (0.70-1.60)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88EB3D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0.96 (0.72-1.29)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96D14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1.28 (0.94-1.75)</w:t>
            </w:r>
          </w:p>
        </w:tc>
      </w:tr>
      <w:tr w:rsidR="00583FB4" w:rsidRPr="00583FB4" w14:paraId="0192D8E1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E703F1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Race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330E62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5F9C0E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6B39B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79D3444C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996D00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White, non-Hispanic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9B7A7C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5ABB59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7621BD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5AF83AB9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8F00A1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Black, non-Hispanic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BC04FE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2.18 (1.01-4.70)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4BC61D3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0.80 (0.41-1.56)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5ADDB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1.60 (0.83-3.11)</w:t>
            </w:r>
          </w:p>
        </w:tc>
      </w:tr>
      <w:tr w:rsidR="00583FB4" w:rsidRPr="00583FB4" w14:paraId="0F7AAA6C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FF1C07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Hispanic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8719FB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1.14 (0.70-2.19)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3A086347" w14:textId="1A5167E4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0.60 (0.38-0.94)</w:t>
            </w:r>
            <w:r w:rsidR="008A2909" w:rsidRPr="00583FB4">
              <w:rPr>
                <w:rFonts w:ascii="Calibri" w:hAnsi="Calibri" w:cs="Calibri"/>
                <w:color w:val="000000"/>
                <w:vertAlign w:val="superscript"/>
              </w:rPr>
              <w:t xml:space="preserve"> 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D57F1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1.33 (0.86-2.07)</w:t>
            </w:r>
          </w:p>
        </w:tc>
      </w:tr>
      <w:tr w:rsidR="00583FB4" w:rsidRPr="00583FB4" w14:paraId="56C0A435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FE8A2E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Other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ABEAEE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0.74 (0.19-2.88)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1048508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0.64 (0.26-1.54)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46DE0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0.41 (0.13-1.27)</w:t>
            </w:r>
          </w:p>
        </w:tc>
      </w:tr>
      <w:tr w:rsidR="00583FB4" w:rsidRPr="00583FB4" w14:paraId="5058FFFB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768742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Residence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D3CA90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5B2E29F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0DE00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528F832A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1610EF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Non-Rural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386BCF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630D31C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3B1B3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0B8B43DB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6A7C3F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Rural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D15AF2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583FB4">
              <w:rPr>
                <w:rFonts w:ascii="Calibri" w:hAnsi="Calibri" w:cs="Calibri"/>
                <w:color w:val="000000"/>
              </w:rPr>
              <w:t>0.32(0.13-0.79)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53EE200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0.73(0.48-1.11)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14F556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583FB4">
              <w:rPr>
                <w:rFonts w:ascii="Calibri" w:hAnsi="Calibri" w:cs="Calibri"/>
                <w:color w:val="000000"/>
              </w:rPr>
              <w:t>0.59(0.36-0.96)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</w:tr>
      <w:tr w:rsidR="00583FB4" w:rsidRPr="00583FB4" w14:paraId="303AB695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8B6E55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HIV status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B8886E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5FAC3F8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0E28A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29675963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77B4E3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Negative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07476E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7F01B34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48DD8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37D1D3FF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CDD009B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Positive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56D2BC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2.72 (0.48-15.32)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8343EE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1.71 (0.37-7.93)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5D780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2.02 (0.42-9.73)</w:t>
            </w:r>
          </w:p>
        </w:tc>
      </w:tr>
      <w:tr w:rsidR="00583FB4" w:rsidRPr="00583FB4" w14:paraId="4C489C7C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7BEAD5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Homelessness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**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90D8674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56EBD66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8DD59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72038710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8A8209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04F6BE5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8EFAFC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37E97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14591939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C616A2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1031041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1.85 (1.15-2.98)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43770EF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1.03 (0.71-1.49)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8527E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1.12 (0.75-1.68)</w:t>
            </w:r>
          </w:p>
        </w:tc>
      </w:tr>
      <w:tr w:rsidR="00583FB4" w:rsidRPr="00583FB4" w14:paraId="3EBF4F77" w14:textId="77777777" w:rsidTr="007E4535">
        <w:trPr>
          <w:trHeight w:val="32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951A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Mental health comorbidity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††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12F865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74149F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2F66F424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C58593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4627D9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17842E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DAB4AF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609062E0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BB0E05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B9C677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1.26 (0.87-1.82)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6A39261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1.84 (1.43-2.36)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D779B5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1.68 (1.27-2.21)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</w:tr>
      <w:tr w:rsidR="00583FB4" w:rsidRPr="00583FB4" w14:paraId="7C828012" w14:textId="77777777" w:rsidTr="007E4535">
        <w:trPr>
          <w:trHeight w:val="32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E23A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Incarceration in past 12 months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‡‡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6B19EC2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852FA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28D4C93F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578214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5CA1B2F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425C094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DC7DD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40469C46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639407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5D69FEA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1.27 (0.77-2.07)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465A1638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0.53 (0.36-0.79)</w:t>
            </w:r>
            <w:r w:rsidRPr="00583FB4">
              <w:rPr>
                <w:rFonts w:ascii="Calibri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1330D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0.97 (0.65-1.45)</w:t>
            </w:r>
          </w:p>
        </w:tc>
      </w:tr>
      <w:tr w:rsidR="00583FB4" w:rsidRPr="00583FB4" w14:paraId="07009985" w14:textId="77777777" w:rsidTr="007E4535">
        <w:trPr>
          <w:trHeight w:val="32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60B4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MOUD in the past 12 months</w:t>
            </w: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‡‡‡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674BD1E6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C0516C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3FB4" w:rsidRPr="00583FB4" w14:paraId="085AD758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D0E2B6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No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3A3EF13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31791E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4446BE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583FB4" w:rsidRPr="00583FB4" w14:paraId="4A0F3589" w14:textId="77777777" w:rsidTr="007E4535">
        <w:trPr>
          <w:trHeight w:val="320"/>
        </w:trPr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04092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 xml:space="preserve">  Yes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E03A97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1.29 (0.87-1.92)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4A4C0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0.93 (0.70-1.24)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A110D2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3FB4">
              <w:rPr>
                <w:rFonts w:ascii="Calibri" w:hAnsi="Calibri" w:cs="Calibri"/>
                <w:color w:val="000000"/>
              </w:rPr>
              <w:t>1.11 (0.82-1.51)</w:t>
            </w:r>
          </w:p>
        </w:tc>
      </w:tr>
      <w:tr w:rsidR="00583FB4" w:rsidRPr="00583FB4" w14:paraId="350A4184" w14:textId="77777777" w:rsidTr="007E4535">
        <w:trPr>
          <w:trHeight w:val="320"/>
        </w:trPr>
        <w:tc>
          <w:tcPr>
            <w:tcW w:w="1092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44859C5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†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Odds ratios with 95% confidence intervals</w:t>
            </w:r>
          </w:p>
          <w:p w14:paraId="54CA9735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b/>
                <w:color w:val="000000"/>
                <w:vertAlign w:val="superscript"/>
              </w:rPr>
              <w:t>‡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Comparator group for odds ratios is opioid-related deaths with only opioids present on toxicology</w:t>
            </w:r>
          </w:p>
          <w:p w14:paraId="7B17A68A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*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Statistically significant with p value &lt;0.05</w:t>
            </w:r>
          </w:p>
          <w:p w14:paraId="555CF79D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**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Homelessness during any period of time from 2011-2015</w:t>
            </w:r>
          </w:p>
          <w:p w14:paraId="6A94290F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††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Includes depression, bipolar disorder, schizophrenia</w:t>
            </w:r>
          </w:p>
          <w:p w14:paraId="50F81B4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‡‡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Any release from prison or jail in Massachusetts in the 12 months that preceded the fatal overdose</w:t>
            </w:r>
          </w:p>
          <w:p w14:paraId="593B9C81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3FB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lastRenderedPageBreak/>
              <w:t>‡‡‡</w:t>
            </w:r>
            <w:r w:rsidRPr="00583FB4">
              <w:rPr>
                <w:rFonts w:ascii="Calibri" w:hAnsi="Calibri" w:cs="Calibri"/>
                <w:color w:val="000000"/>
                <w:sz w:val="20"/>
                <w:szCs w:val="20"/>
              </w:rPr>
              <w:t>Medication for opioid use disorder; includes naltrexone, methadone, or buprenorphine in the 12 months that preceded the fatal overdose</w:t>
            </w:r>
          </w:p>
          <w:p w14:paraId="5EEFEAA9" w14:textId="77777777" w:rsidR="00583FB4" w:rsidRPr="00583FB4" w:rsidRDefault="00583FB4" w:rsidP="00583F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C5998C5" w14:textId="22F42B88" w:rsidR="006E694A" w:rsidRDefault="006E694A" w:rsidP="00583FB4">
      <w:pPr>
        <w:contextualSpacing/>
        <w:rPr>
          <w:sz w:val="24"/>
          <w:szCs w:val="24"/>
        </w:rPr>
      </w:pPr>
    </w:p>
    <w:p w14:paraId="0C36BC81" w14:textId="74056E9E" w:rsidR="006E694A" w:rsidRDefault="006E694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14:paraId="26BFAFC0" w14:textId="74B738AF" w:rsidR="004F4FFC" w:rsidRPr="004F4FFC" w:rsidRDefault="004F4FFC" w:rsidP="005B1422">
      <w:pPr>
        <w:spacing w:after="0"/>
        <w:rPr>
          <w:rFonts w:ascii="Calibri" w:hAnsi="Calibri"/>
          <w:sz w:val="24"/>
          <w:szCs w:val="24"/>
        </w:rPr>
      </w:pPr>
      <w:r w:rsidRPr="004F4FFC">
        <w:rPr>
          <w:rFonts w:ascii="Calibri" w:hAnsi="Calibri"/>
          <w:sz w:val="24"/>
          <w:szCs w:val="24"/>
        </w:rPr>
        <w:lastRenderedPageBreak/>
        <w:t>REFERENCES</w:t>
      </w:r>
    </w:p>
    <w:p w14:paraId="62413DB4" w14:textId="77777777" w:rsidR="009272D9" w:rsidRDefault="009272D9" w:rsidP="00A00583">
      <w:pPr>
        <w:pStyle w:val="EndNoteBibliography"/>
        <w:spacing w:after="0" w:line="480" w:lineRule="auto"/>
        <w:ind w:left="720" w:hanging="720"/>
        <w:rPr>
          <w:rFonts w:ascii="Arial" w:hAnsi="Arial" w:cs="Arial"/>
        </w:rPr>
      </w:pPr>
    </w:p>
    <w:p w14:paraId="29CDB9AF" w14:textId="5656FD53" w:rsidR="00A00583" w:rsidRPr="007D5AC1" w:rsidRDefault="004F4FFC" w:rsidP="00A00583">
      <w:pPr>
        <w:pStyle w:val="EndNoteBibliography"/>
        <w:spacing w:after="0" w:line="480" w:lineRule="auto"/>
        <w:ind w:left="720" w:hanging="720"/>
        <w:rPr>
          <w:rFonts w:ascii="Calibri" w:hAnsi="Calibri" w:cs="Calibri"/>
          <w:noProof/>
          <w:sz w:val="24"/>
          <w:szCs w:val="24"/>
        </w:rPr>
      </w:pPr>
      <w:r w:rsidRPr="00A00583">
        <w:rPr>
          <w:rFonts w:ascii="Arial" w:hAnsi="Arial" w:cs="Arial"/>
        </w:rPr>
        <w:fldChar w:fldCharType="begin"/>
      </w:r>
      <w:r w:rsidRPr="00A00583">
        <w:rPr>
          <w:rFonts w:ascii="Arial" w:hAnsi="Arial" w:cs="Arial"/>
        </w:rPr>
        <w:instrText xml:space="preserve"> ADDIN EN.REFLIST </w:instrText>
      </w:r>
      <w:r w:rsidRPr="00A00583">
        <w:rPr>
          <w:rFonts w:ascii="Arial" w:hAnsi="Arial" w:cs="Arial"/>
        </w:rPr>
        <w:fldChar w:fldCharType="separate"/>
      </w:r>
      <w:r w:rsidR="00A00583" w:rsidRPr="007D5AC1">
        <w:rPr>
          <w:rFonts w:ascii="Calibri" w:hAnsi="Calibri" w:cs="Calibri"/>
          <w:noProof/>
          <w:sz w:val="24"/>
          <w:szCs w:val="24"/>
        </w:rPr>
        <w:t xml:space="preserve">Barocas, J. A., White, L. F., Wang, J., Walley, A. Y., LaRochelle, M. R., Bernson, D., . . . Linas, B. P. (2018). Estimated Prevalence of Opioid Use Disorder in Massachusetts, 2011-2015: A Capture-Recapture Analysis. </w:t>
      </w:r>
      <w:r w:rsidR="00A00583" w:rsidRPr="007D5AC1">
        <w:rPr>
          <w:rFonts w:ascii="Calibri" w:hAnsi="Calibri" w:cs="Calibri"/>
          <w:i/>
          <w:noProof/>
          <w:sz w:val="24"/>
          <w:szCs w:val="24"/>
        </w:rPr>
        <w:t>Am J Public Health, 108</w:t>
      </w:r>
      <w:r w:rsidR="00A00583" w:rsidRPr="007D5AC1">
        <w:rPr>
          <w:rFonts w:ascii="Calibri" w:hAnsi="Calibri" w:cs="Calibri"/>
          <w:noProof/>
          <w:sz w:val="24"/>
          <w:szCs w:val="24"/>
        </w:rPr>
        <w:t>(12), 1675-1681. doi:10.2105/AJPH.2018.304673</w:t>
      </w:r>
    </w:p>
    <w:p w14:paraId="04054F61" w14:textId="77777777" w:rsidR="00A00583" w:rsidRPr="007D5AC1" w:rsidRDefault="00A00583" w:rsidP="00A00583">
      <w:pPr>
        <w:pStyle w:val="EndNoteBibliography"/>
        <w:spacing w:after="0" w:line="480" w:lineRule="auto"/>
        <w:ind w:left="720" w:hanging="720"/>
        <w:rPr>
          <w:rFonts w:ascii="Calibri" w:hAnsi="Calibri" w:cs="Calibri"/>
          <w:noProof/>
          <w:sz w:val="24"/>
          <w:szCs w:val="24"/>
        </w:rPr>
      </w:pPr>
      <w:r w:rsidRPr="007D5AC1">
        <w:rPr>
          <w:rFonts w:ascii="Calibri" w:hAnsi="Calibri" w:cs="Calibri"/>
          <w:noProof/>
          <w:sz w:val="24"/>
          <w:szCs w:val="24"/>
        </w:rPr>
        <w:t>Harruff, R. C., Couper, F. J., &amp; Banta-Green, C. J. (2015). Tracking the Opioid Drug Overdose Epidemic in King County, Washington Using an Improved Methodology for Certifying Heroin Related Deaths.</w:t>
      </w:r>
      <w:r w:rsidRPr="007D5AC1">
        <w:rPr>
          <w:rFonts w:ascii="Calibri" w:hAnsi="Calibri" w:cs="Calibri"/>
          <w:i/>
          <w:noProof/>
          <w:sz w:val="24"/>
          <w:szCs w:val="24"/>
        </w:rPr>
        <w:t xml:space="preserve"> 5</w:t>
      </w:r>
      <w:r w:rsidRPr="007D5AC1">
        <w:rPr>
          <w:rFonts w:ascii="Calibri" w:hAnsi="Calibri" w:cs="Calibri"/>
          <w:noProof/>
          <w:sz w:val="24"/>
          <w:szCs w:val="24"/>
        </w:rPr>
        <w:t>(3), 499-506. doi:10.23907/2015.055</w:t>
      </w:r>
    </w:p>
    <w:p w14:paraId="1BBBA03E" w14:textId="77777777" w:rsidR="00A00583" w:rsidRPr="007D5AC1" w:rsidRDefault="00A00583" w:rsidP="00A00583">
      <w:pPr>
        <w:spacing w:line="480" w:lineRule="auto"/>
        <w:contextualSpacing/>
        <w:rPr>
          <w:rFonts w:ascii="Calibri" w:hAnsi="Calibri" w:cs="Calibri"/>
          <w:i/>
          <w:noProof/>
          <w:sz w:val="24"/>
          <w:szCs w:val="24"/>
        </w:rPr>
      </w:pPr>
      <w:r w:rsidRPr="007D5AC1">
        <w:rPr>
          <w:rFonts w:ascii="Calibri" w:hAnsi="Calibri" w:cs="Calibri"/>
          <w:noProof/>
          <w:sz w:val="24"/>
          <w:szCs w:val="24"/>
        </w:rPr>
        <w:t xml:space="preserve">Hedegaard, H., Bastian, B.A., Trinidad, J.P., Spencer, M., Warner, M. (2018). </w:t>
      </w:r>
      <w:r w:rsidRPr="007D5AC1">
        <w:rPr>
          <w:rFonts w:ascii="Calibri" w:hAnsi="Calibri" w:cs="Calibri"/>
          <w:i/>
          <w:noProof/>
          <w:sz w:val="24"/>
          <w:szCs w:val="24"/>
        </w:rPr>
        <w:t xml:space="preserve">Drugs most </w:t>
      </w:r>
    </w:p>
    <w:p w14:paraId="61F7EE9E" w14:textId="77777777" w:rsidR="00A00583" w:rsidRPr="007D5AC1" w:rsidRDefault="00A00583" w:rsidP="00A00583">
      <w:pPr>
        <w:spacing w:line="480" w:lineRule="auto"/>
        <w:ind w:firstLine="720"/>
        <w:contextualSpacing/>
        <w:rPr>
          <w:rFonts w:ascii="Calibri" w:hAnsi="Calibri" w:cs="Calibri"/>
          <w:noProof/>
          <w:sz w:val="24"/>
          <w:szCs w:val="24"/>
        </w:rPr>
      </w:pPr>
      <w:r w:rsidRPr="007D5AC1">
        <w:rPr>
          <w:rFonts w:ascii="Calibri" w:hAnsi="Calibri" w:cs="Calibri"/>
          <w:i/>
          <w:noProof/>
          <w:sz w:val="24"/>
          <w:szCs w:val="24"/>
        </w:rPr>
        <w:t>frequently involved in drug overdose deaths: United States, 2011-2016.</w:t>
      </w:r>
      <w:r w:rsidRPr="007D5AC1">
        <w:rPr>
          <w:rFonts w:ascii="Calibri" w:hAnsi="Calibri" w:cs="Calibri"/>
          <w:noProof/>
          <w:sz w:val="24"/>
          <w:szCs w:val="24"/>
        </w:rPr>
        <w:t xml:space="preserve"> Retrieved from </w:t>
      </w:r>
    </w:p>
    <w:p w14:paraId="045906CF" w14:textId="07FF233F" w:rsidR="00A00583" w:rsidRPr="007D5AC1" w:rsidRDefault="00A00583" w:rsidP="00A00583">
      <w:pPr>
        <w:spacing w:line="480" w:lineRule="auto"/>
        <w:ind w:left="720"/>
        <w:contextualSpacing/>
        <w:rPr>
          <w:rFonts w:ascii="Calibri" w:hAnsi="Calibri" w:cs="Calibri"/>
          <w:noProof/>
          <w:sz w:val="24"/>
          <w:szCs w:val="24"/>
        </w:rPr>
      </w:pPr>
      <w:r w:rsidRPr="007D5AC1">
        <w:rPr>
          <w:rFonts w:ascii="Calibri" w:hAnsi="Calibri" w:cs="Calibri"/>
          <w:noProof/>
          <w:sz w:val="24"/>
          <w:szCs w:val="24"/>
        </w:rPr>
        <w:t xml:space="preserve">Hyattsville, MD. </w:t>
      </w:r>
    </w:p>
    <w:p w14:paraId="6E76BFCB" w14:textId="77777777" w:rsidR="00A00583" w:rsidRPr="007D5AC1" w:rsidRDefault="00A00583" w:rsidP="00A00583">
      <w:pPr>
        <w:spacing w:line="480" w:lineRule="auto"/>
        <w:contextualSpacing/>
        <w:rPr>
          <w:rFonts w:ascii="Calibri" w:hAnsi="Calibri" w:cs="Calibri"/>
          <w:noProof/>
          <w:sz w:val="24"/>
          <w:szCs w:val="24"/>
        </w:rPr>
      </w:pPr>
      <w:r w:rsidRPr="007D5AC1">
        <w:rPr>
          <w:rFonts w:ascii="Calibri" w:hAnsi="Calibri" w:cs="Calibri"/>
          <w:noProof/>
          <w:sz w:val="24"/>
          <w:szCs w:val="24"/>
        </w:rPr>
        <w:t xml:space="preserve">Substance Abuse and Mental Health Services Administration Center for Behavioral Health </w:t>
      </w:r>
    </w:p>
    <w:p w14:paraId="2AA250BA" w14:textId="5CA8B0AD" w:rsidR="00A00583" w:rsidRPr="007D5AC1" w:rsidRDefault="00A00583" w:rsidP="00A00583">
      <w:pPr>
        <w:spacing w:line="48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7D5AC1">
        <w:rPr>
          <w:rFonts w:ascii="Calibri" w:hAnsi="Calibri" w:cs="Calibri"/>
          <w:noProof/>
          <w:sz w:val="24"/>
          <w:szCs w:val="24"/>
        </w:rPr>
        <w:t xml:space="preserve">Statistics and Quality. </w:t>
      </w:r>
      <w:r w:rsidRPr="007D5AC1">
        <w:rPr>
          <w:rFonts w:ascii="Calibri" w:hAnsi="Calibri" w:cs="Calibri"/>
          <w:i/>
          <w:iCs/>
          <w:noProof/>
          <w:sz w:val="24"/>
          <w:szCs w:val="24"/>
        </w:rPr>
        <w:t>Treatment Episode Data Set (TEDS): 2005-2015. National Admissions to Substance Abuse Treatment Services. BHSIS Series S-91, HHS Publication No. (SMA) 17-5037</w:t>
      </w:r>
      <w:r w:rsidRPr="007D5AC1">
        <w:rPr>
          <w:rFonts w:ascii="Calibri" w:hAnsi="Calibri" w:cs="Calibri"/>
          <w:noProof/>
          <w:sz w:val="24"/>
          <w:szCs w:val="24"/>
        </w:rPr>
        <w:t>. Rockville, MD: Substance Abuse and Mental Health Services Administration; 2017.</w:t>
      </w:r>
    </w:p>
    <w:p w14:paraId="348FF19F" w14:textId="44EF47CD" w:rsidR="00A00583" w:rsidRPr="00A00583" w:rsidRDefault="00A00583" w:rsidP="00A00583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A00583">
        <w:rPr>
          <w:rFonts w:ascii="Arial" w:hAnsi="Arial" w:cs="Arial"/>
          <w:noProof/>
        </w:rPr>
        <w:t xml:space="preserve"> </w:t>
      </w:r>
    </w:p>
    <w:p w14:paraId="36FCFFF5" w14:textId="16F0F266" w:rsidR="007E4535" w:rsidRDefault="004F4FFC" w:rsidP="00A00583">
      <w:pPr>
        <w:spacing w:line="480" w:lineRule="auto"/>
        <w:contextualSpacing/>
        <w:rPr>
          <w:rFonts w:ascii="Calibri" w:hAnsi="Calibri"/>
          <w:sz w:val="24"/>
          <w:szCs w:val="24"/>
        </w:rPr>
      </w:pPr>
      <w:r w:rsidRPr="00A00583">
        <w:rPr>
          <w:rFonts w:ascii="Arial" w:hAnsi="Arial" w:cs="Arial"/>
        </w:rPr>
        <w:fldChar w:fldCharType="end"/>
      </w:r>
    </w:p>
    <w:p w14:paraId="183D7093" w14:textId="08B938F0" w:rsidR="00A00583" w:rsidRDefault="00A00583" w:rsidP="004F4FFC">
      <w:pPr>
        <w:spacing w:line="480" w:lineRule="auto"/>
        <w:contextualSpacing/>
        <w:rPr>
          <w:rFonts w:ascii="Calibri" w:hAnsi="Calibri"/>
          <w:sz w:val="24"/>
          <w:szCs w:val="24"/>
        </w:rPr>
      </w:pPr>
    </w:p>
    <w:p w14:paraId="17F3E030" w14:textId="77777777" w:rsidR="00A00583" w:rsidRDefault="00A00583" w:rsidP="004F4FFC">
      <w:pPr>
        <w:spacing w:line="480" w:lineRule="auto"/>
        <w:contextualSpacing/>
        <w:rPr>
          <w:rFonts w:ascii="Calibri" w:hAnsi="Calibri"/>
          <w:sz w:val="24"/>
          <w:szCs w:val="24"/>
        </w:rPr>
      </w:pPr>
    </w:p>
    <w:sectPr w:rsidR="00A00583" w:rsidSect="00B4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v9d09z5etsz4er0aap9svsz2dxxdwvd2ax&quot;&gt;My EndNote Library&lt;record-ids&gt;&lt;item&gt;461&lt;/item&gt;&lt;item&gt;462&lt;/item&gt;&lt;item&gt;500&lt;/item&gt;&lt;item&gt;506&lt;/item&gt;&lt;/record-ids&gt;&lt;/item&gt;&lt;/Libraries&gt;"/>
  </w:docVars>
  <w:rsids>
    <w:rsidRoot w:val="00583FB4"/>
    <w:rsid w:val="00063F98"/>
    <w:rsid w:val="000861C3"/>
    <w:rsid w:val="00091386"/>
    <w:rsid w:val="00093A4F"/>
    <w:rsid w:val="000A1382"/>
    <w:rsid w:val="000A6584"/>
    <w:rsid w:val="000C26A9"/>
    <w:rsid w:val="000C3736"/>
    <w:rsid w:val="00165A84"/>
    <w:rsid w:val="00172EE8"/>
    <w:rsid w:val="00177D2E"/>
    <w:rsid w:val="001B0952"/>
    <w:rsid w:val="002129F4"/>
    <w:rsid w:val="00213233"/>
    <w:rsid w:val="002219E6"/>
    <w:rsid w:val="00227B3D"/>
    <w:rsid w:val="002625AE"/>
    <w:rsid w:val="002956D0"/>
    <w:rsid w:val="002E7E52"/>
    <w:rsid w:val="00307D97"/>
    <w:rsid w:val="00312FBD"/>
    <w:rsid w:val="00314F83"/>
    <w:rsid w:val="00392920"/>
    <w:rsid w:val="003A75C1"/>
    <w:rsid w:val="00406D7E"/>
    <w:rsid w:val="00460298"/>
    <w:rsid w:val="00475EC0"/>
    <w:rsid w:val="00483B39"/>
    <w:rsid w:val="00495D78"/>
    <w:rsid w:val="004F169D"/>
    <w:rsid w:val="004F2EC6"/>
    <w:rsid w:val="004F4FFC"/>
    <w:rsid w:val="005071F3"/>
    <w:rsid w:val="00521532"/>
    <w:rsid w:val="00523B50"/>
    <w:rsid w:val="005314FE"/>
    <w:rsid w:val="00534121"/>
    <w:rsid w:val="00534300"/>
    <w:rsid w:val="0057136E"/>
    <w:rsid w:val="00572E14"/>
    <w:rsid w:val="00583FB4"/>
    <w:rsid w:val="00591048"/>
    <w:rsid w:val="0059306F"/>
    <w:rsid w:val="005A619B"/>
    <w:rsid w:val="005B1422"/>
    <w:rsid w:val="005B5D2B"/>
    <w:rsid w:val="006050B2"/>
    <w:rsid w:val="00623FD1"/>
    <w:rsid w:val="006272FD"/>
    <w:rsid w:val="00635384"/>
    <w:rsid w:val="00664554"/>
    <w:rsid w:val="00673B07"/>
    <w:rsid w:val="006804D0"/>
    <w:rsid w:val="006841CB"/>
    <w:rsid w:val="006A35C7"/>
    <w:rsid w:val="006E29E3"/>
    <w:rsid w:val="006E694A"/>
    <w:rsid w:val="00724035"/>
    <w:rsid w:val="00732BBF"/>
    <w:rsid w:val="00734146"/>
    <w:rsid w:val="00791109"/>
    <w:rsid w:val="00791BF3"/>
    <w:rsid w:val="007A5637"/>
    <w:rsid w:val="007A75D7"/>
    <w:rsid w:val="007D3F1A"/>
    <w:rsid w:val="007D5AC1"/>
    <w:rsid w:val="007E3CA7"/>
    <w:rsid w:val="007E4535"/>
    <w:rsid w:val="00811E87"/>
    <w:rsid w:val="00814E6F"/>
    <w:rsid w:val="00871E63"/>
    <w:rsid w:val="008A2909"/>
    <w:rsid w:val="008B484D"/>
    <w:rsid w:val="008C6420"/>
    <w:rsid w:val="008C6A78"/>
    <w:rsid w:val="008D3CE0"/>
    <w:rsid w:val="008D50A6"/>
    <w:rsid w:val="009272D9"/>
    <w:rsid w:val="00950A25"/>
    <w:rsid w:val="00974DD3"/>
    <w:rsid w:val="0098163E"/>
    <w:rsid w:val="00992263"/>
    <w:rsid w:val="009B3F81"/>
    <w:rsid w:val="009B7CB5"/>
    <w:rsid w:val="009D2761"/>
    <w:rsid w:val="009E1AE7"/>
    <w:rsid w:val="009F43C6"/>
    <w:rsid w:val="00A00583"/>
    <w:rsid w:val="00A25CA6"/>
    <w:rsid w:val="00A36490"/>
    <w:rsid w:val="00A40729"/>
    <w:rsid w:val="00A40A4F"/>
    <w:rsid w:val="00A522E6"/>
    <w:rsid w:val="00A838EC"/>
    <w:rsid w:val="00AB6163"/>
    <w:rsid w:val="00AB765C"/>
    <w:rsid w:val="00AC242E"/>
    <w:rsid w:val="00AC4C01"/>
    <w:rsid w:val="00AF37C9"/>
    <w:rsid w:val="00AF40D4"/>
    <w:rsid w:val="00B03BAE"/>
    <w:rsid w:val="00B46EF1"/>
    <w:rsid w:val="00B52394"/>
    <w:rsid w:val="00B85BB5"/>
    <w:rsid w:val="00BB4EE2"/>
    <w:rsid w:val="00BB4EF9"/>
    <w:rsid w:val="00BE5970"/>
    <w:rsid w:val="00BF3017"/>
    <w:rsid w:val="00C1370B"/>
    <w:rsid w:val="00C27B4A"/>
    <w:rsid w:val="00C5093B"/>
    <w:rsid w:val="00C5252B"/>
    <w:rsid w:val="00C539FA"/>
    <w:rsid w:val="00C63FA5"/>
    <w:rsid w:val="00C65A2C"/>
    <w:rsid w:val="00CB43C5"/>
    <w:rsid w:val="00CC22FB"/>
    <w:rsid w:val="00CD20A5"/>
    <w:rsid w:val="00CD64CD"/>
    <w:rsid w:val="00CE597B"/>
    <w:rsid w:val="00D10ED6"/>
    <w:rsid w:val="00D36E93"/>
    <w:rsid w:val="00D85509"/>
    <w:rsid w:val="00DE1ED9"/>
    <w:rsid w:val="00DE5DA8"/>
    <w:rsid w:val="00E123CD"/>
    <w:rsid w:val="00E467DE"/>
    <w:rsid w:val="00E50395"/>
    <w:rsid w:val="00E81EF3"/>
    <w:rsid w:val="00EC5545"/>
    <w:rsid w:val="00ED0057"/>
    <w:rsid w:val="00EE614D"/>
    <w:rsid w:val="00F06ECF"/>
    <w:rsid w:val="00F07CCA"/>
    <w:rsid w:val="00F27E7F"/>
    <w:rsid w:val="00F41AF8"/>
    <w:rsid w:val="00F629D7"/>
    <w:rsid w:val="00F83AC6"/>
    <w:rsid w:val="00F849AD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940D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FB4"/>
    <w:pPr>
      <w:spacing w:after="120"/>
    </w:pPr>
    <w:rPr>
      <w:rFonts w:ascii="Times New Roman" w:hAnsi="Times New Roman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A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8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FB4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3FB4"/>
  </w:style>
  <w:style w:type="paragraph" w:styleId="NoSpacing">
    <w:name w:val="No Spacing"/>
    <w:link w:val="NoSpacingChar"/>
    <w:uiPriority w:val="1"/>
    <w:qFormat/>
    <w:rsid w:val="00583FB4"/>
  </w:style>
  <w:style w:type="paragraph" w:customStyle="1" w:styleId="TableHeading">
    <w:name w:val="Table Heading"/>
    <w:basedOn w:val="Heading2"/>
    <w:qFormat/>
    <w:rsid w:val="00583FB4"/>
    <w:pPr>
      <w:spacing w:before="240" w:after="120"/>
      <w:outlineLvl w:val="9"/>
    </w:pPr>
    <w:rPr>
      <w:rFonts w:ascii="Times New Roman" w:hAnsi="Times New Roman" w:cs="Times New Roman"/>
      <w:b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58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3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21">
    <w:name w:val="Plain Table 21"/>
    <w:basedOn w:val="TableNormal"/>
    <w:uiPriority w:val="42"/>
    <w:rsid w:val="007A5637"/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0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09"/>
    <w:rPr>
      <w:rFonts w:ascii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4F4FFC"/>
    <w:pPr>
      <w:spacing w:after="0"/>
      <w:jc w:val="center"/>
    </w:pPr>
  </w:style>
  <w:style w:type="paragraph" w:customStyle="1" w:styleId="EndNoteBibliography">
    <w:name w:val="EndNote Bibliography"/>
    <w:basedOn w:val="Normal"/>
    <w:rsid w:val="004F4FFC"/>
  </w:style>
  <w:style w:type="table" w:styleId="PlainTable2">
    <w:name w:val="Plain Table 2"/>
    <w:basedOn w:val="TableNormal"/>
    <w:uiPriority w:val="42"/>
    <w:rsid w:val="00C65A2C"/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6E29E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B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a.Barocas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Barocas, Joshua</cp:lastModifiedBy>
  <cp:revision>3</cp:revision>
  <dcterms:created xsi:type="dcterms:W3CDTF">2019-03-12T00:18:00Z</dcterms:created>
  <dcterms:modified xsi:type="dcterms:W3CDTF">2019-03-12T00:18:00Z</dcterms:modified>
</cp:coreProperties>
</file>