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5D6E" w14:textId="27DC9E9F" w:rsidR="006E29B0" w:rsidRPr="009935A3" w:rsidRDefault="00505FBE" w:rsidP="006E29B0">
      <w:pPr>
        <w:spacing w:line="480" w:lineRule="auto"/>
        <w:ind w:left="720"/>
      </w:pPr>
      <w:r w:rsidRPr="00505FBE">
        <w:rPr>
          <w:b/>
          <w:u w:val="single"/>
        </w:rPr>
        <w:t>Supplementary Appendix S7</w:t>
      </w:r>
      <w:r w:rsidR="006E29B0" w:rsidRPr="009935A3">
        <w:t xml:space="preserve">: Comparison of characteristics and clinical outcomes between </w:t>
      </w:r>
      <w:bookmarkStart w:id="0" w:name="_GoBack"/>
      <w:bookmarkEnd w:id="0"/>
      <w:r w:rsidR="006E29B0">
        <w:t xml:space="preserve">older and younger </w:t>
      </w:r>
      <w:r w:rsidR="006E29B0" w:rsidRPr="009935A3">
        <w:t xml:space="preserve">Massachusetts adults who received prescribed opioids at least once between 2011 and 2015 (n = </w:t>
      </w:r>
      <w:r w:rsidR="006E29B0" w:rsidRPr="009935A3">
        <w:rPr>
          <w:color w:val="000000"/>
          <w:shd w:val="clear" w:color="auto" w:fill="FFFFFF"/>
        </w:rPr>
        <w:t>3,078,163</w:t>
      </w:r>
      <w:r w:rsidR="006E29B0" w:rsidRPr="009935A3">
        <w:t xml:space="preserve">). </w:t>
      </w:r>
    </w:p>
    <w:p w14:paraId="47CC1BBA" w14:textId="77777777" w:rsidR="006E29B0" w:rsidRPr="009935A3" w:rsidRDefault="006E29B0" w:rsidP="006E29B0">
      <w:pPr>
        <w:spacing w:line="480" w:lineRule="auto"/>
        <w:ind w:left="720"/>
      </w:pPr>
    </w:p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44"/>
        <w:gridCol w:w="1744"/>
        <w:gridCol w:w="1745"/>
        <w:gridCol w:w="1175"/>
      </w:tblGrid>
      <w:tr w:rsidR="006E29B0" w:rsidRPr="009935A3" w14:paraId="426E576F" w14:textId="77777777" w:rsidTr="00067E98">
        <w:tc>
          <w:tcPr>
            <w:tcW w:w="2448" w:type="dxa"/>
            <w:shd w:val="clear" w:color="auto" w:fill="auto"/>
          </w:tcPr>
          <w:p w14:paraId="7C509572" w14:textId="77777777" w:rsidR="006E29B0" w:rsidRPr="009935A3" w:rsidRDefault="006E29B0" w:rsidP="00067E98">
            <w:pPr>
              <w:spacing w:line="480" w:lineRule="auto"/>
            </w:pPr>
            <w:r w:rsidRPr="009935A3">
              <w:t>Variable</w:t>
            </w:r>
          </w:p>
        </w:tc>
        <w:tc>
          <w:tcPr>
            <w:tcW w:w="1744" w:type="dxa"/>
          </w:tcPr>
          <w:p w14:paraId="3A821F50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 xml:space="preserve">All Recipients of Prescription Opioids </w:t>
            </w:r>
          </w:p>
          <w:p w14:paraId="2CF8254B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(n = 3,078,163)</w:t>
            </w:r>
          </w:p>
        </w:tc>
        <w:tc>
          <w:tcPr>
            <w:tcW w:w="1744" w:type="dxa"/>
          </w:tcPr>
          <w:p w14:paraId="46BB70EF" w14:textId="77777777" w:rsidR="006E29B0" w:rsidRPr="009935A3" w:rsidRDefault="006E29B0" w:rsidP="00067E98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935A3">
              <w:t>Age 18-49</w:t>
            </w:r>
          </w:p>
          <w:p w14:paraId="1FE84DA1" w14:textId="77777777" w:rsidR="006E29B0" w:rsidRPr="009935A3" w:rsidRDefault="006E29B0" w:rsidP="00067E98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935A3">
              <w:t>(n = 1,488,798)</w:t>
            </w:r>
          </w:p>
        </w:tc>
        <w:tc>
          <w:tcPr>
            <w:tcW w:w="1745" w:type="dxa"/>
          </w:tcPr>
          <w:p w14:paraId="2DF6D3EF" w14:textId="77777777" w:rsidR="006E29B0" w:rsidRPr="009935A3" w:rsidRDefault="006E29B0" w:rsidP="00067E98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935A3">
              <w:t>Age 50+</w:t>
            </w:r>
          </w:p>
          <w:p w14:paraId="712D455F" w14:textId="77777777" w:rsidR="006E29B0" w:rsidRPr="009935A3" w:rsidRDefault="006E29B0" w:rsidP="00067E98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935A3">
              <w:t>(n = 1,589,365)</w:t>
            </w:r>
          </w:p>
        </w:tc>
        <w:tc>
          <w:tcPr>
            <w:tcW w:w="1175" w:type="dxa"/>
            <w:shd w:val="clear" w:color="auto" w:fill="auto"/>
          </w:tcPr>
          <w:p w14:paraId="70CB4DA3" w14:textId="77777777" w:rsidR="006E29B0" w:rsidRPr="009935A3" w:rsidRDefault="006E29B0" w:rsidP="00067E98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935A3">
              <w:t>p-value, Chi-square*</w:t>
            </w:r>
          </w:p>
        </w:tc>
      </w:tr>
      <w:tr w:rsidR="006E29B0" w:rsidRPr="009935A3" w14:paraId="75991CB5" w14:textId="77777777" w:rsidTr="00067E98">
        <w:tc>
          <w:tcPr>
            <w:tcW w:w="2448" w:type="dxa"/>
            <w:shd w:val="clear" w:color="auto" w:fill="auto"/>
          </w:tcPr>
          <w:p w14:paraId="1E1D027C" w14:textId="77777777" w:rsidR="006E29B0" w:rsidRPr="009935A3" w:rsidRDefault="006E29B0" w:rsidP="00067E98">
            <w:pPr>
              <w:spacing w:line="480" w:lineRule="auto"/>
              <w:rPr>
                <w:b/>
              </w:rPr>
            </w:pPr>
            <w:r w:rsidRPr="009935A3">
              <w:rPr>
                <w:b/>
              </w:rPr>
              <w:t>Age</w:t>
            </w:r>
          </w:p>
        </w:tc>
        <w:tc>
          <w:tcPr>
            <w:tcW w:w="1744" w:type="dxa"/>
          </w:tcPr>
          <w:p w14:paraId="59F51B9F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4" w:type="dxa"/>
          </w:tcPr>
          <w:p w14:paraId="2B319507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5" w:type="dxa"/>
          </w:tcPr>
          <w:p w14:paraId="282F0775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2F3DEC25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n/a</w:t>
            </w:r>
          </w:p>
        </w:tc>
      </w:tr>
      <w:tr w:rsidR="006E29B0" w:rsidRPr="009935A3" w14:paraId="6FE8D639" w14:textId="77777777" w:rsidTr="00067E98">
        <w:tc>
          <w:tcPr>
            <w:tcW w:w="2448" w:type="dxa"/>
            <w:shd w:val="clear" w:color="auto" w:fill="auto"/>
          </w:tcPr>
          <w:p w14:paraId="0DEF40B8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18-29</w:t>
            </w:r>
          </w:p>
        </w:tc>
        <w:tc>
          <w:tcPr>
            <w:tcW w:w="1744" w:type="dxa"/>
          </w:tcPr>
          <w:p w14:paraId="2E929B27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529,370 (17.2%)</w:t>
            </w:r>
          </w:p>
        </w:tc>
        <w:tc>
          <w:tcPr>
            <w:tcW w:w="1744" w:type="dxa"/>
          </w:tcPr>
          <w:p w14:paraId="4956E582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25AF8ADD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5A6F0392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5BDB0167" w14:textId="77777777" w:rsidTr="00067E98">
        <w:tc>
          <w:tcPr>
            <w:tcW w:w="2448" w:type="dxa"/>
            <w:shd w:val="clear" w:color="auto" w:fill="auto"/>
          </w:tcPr>
          <w:p w14:paraId="526F2EE9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30-39</w:t>
            </w:r>
          </w:p>
        </w:tc>
        <w:tc>
          <w:tcPr>
            <w:tcW w:w="1744" w:type="dxa"/>
          </w:tcPr>
          <w:p w14:paraId="0E677132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478,085</w:t>
            </w:r>
          </w:p>
          <w:p w14:paraId="316E48C2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(15.5%)</w:t>
            </w:r>
          </w:p>
        </w:tc>
        <w:tc>
          <w:tcPr>
            <w:tcW w:w="1744" w:type="dxa"/>
          </w:tcPr>
          <w:p w14:paraId="6EE9F9CA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2120A6E2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7CAEE02C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2DFD71B7" w14:textId="77777777" w:rsidTr="00067E98">
        <w:tc>
          <w:tcPr>
            <w:tcW w:w="2448" w:type="dxa"/>
            <w:shd w:val="clear" w:color="auto" w:fill="auto"/>
          </w:tcPr>
          <w:p w14:paraId="7BD1AB59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40-49</w:t>
            </w:r>
          </w:p>
        </w:tc>
        <w:tc>
          <w:tcPr>
            <w:tcW w:w="1744" w:type="dxa"/>
          </w:tcPr>
          <w:p w14:paraId="35A77ADB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481,343</w:t>
            </w:r>
          </w:p>
          <w:p w14:paraId="7520F168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(15.6%)</w:t>
            </w:r>
          </w:p>
        </w:tc>
        <w:tc>
          <w:tcPr>
            <w:tcW w:w="1744" w:type="dxa"/>
          </w:tcPr>
          <w:p w14:paraId="0BDA186C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48E7A19A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792F7DE3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60C17BA3" w14:textId="77777777" w:rsidTr="00067E98">
        <w:tc>
          <w:tcPr>
            <w:tcW w:w="2448" w:type="dxa"/>
            <w:shd w:val="clear" w:color="auto" w:fill="auto"/>
          </w:tcPr>
          <w:p w14:paraId="6F0043E2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50-59</w:t>
            </w:r>
          </w:p>
        </w:tc>
        <w:tc>
          <w:tcPr>
            <w:tcW w:w="1744" w:type="dxa"/>
          </w:tcPr>
          <w:p w14:paraId="78391D19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580,026</w:t>
            </w:r>
          </w:p>
          <w:p w14:paraId="421E4CC8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(18.8%)</w:t>
            </w:r>
          </w:p>
        </w:tc>
        <w:tc>
          <w:tcPr>
            <w:tcW w:w="1744" w:type="dxa"/>
          </w:tcPr>
          <w:p w14:paraId="1F746282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4EF3E480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7D91E314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39D937AF" w14:textId="77777777" w:rsidTr="00067E98">
        <w:tc>
          <w:tcPr>
            <w:tcW w:w="2448" w:type="dxa"/>
            <w:shd w:val="clear" w:color="auto" w:fill="auto"/>
          </w:tcPr>
          <w:p w14:paraId="79B10257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60-69</w:t>
            </w:r>
          </w:p>
        </w:tc>
        <w:tc>
          <w:tcPr>
            <w:tcW w:w="1744" w:type="dxa"/>
          </w:tcPr>
          <w:p w14:paraId="16B3B38D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479,582</w:t>
            </w:r>
          </w:p>
          <w:p w14:paraId="06FBEA17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(15.6%)</w:t>
            </w:r>
          </w:p>
        </w:tc>
        <w:tc>
          <w:tcPr>
            <w:tcW w:w="1744" w:type="dxa"/>
          </w:tcPr>
          <w:p w14:paraId="09501ADF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61239E6C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2E818507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1E5E1408" w14:textId="77777777" w:rsidTr="00067E98">
        <w:tc>
          <w:tcPr>
            <w:tcW w:w="2448" w:type="dxa"/>
            <w:shd w:val="clear" w:color="auto" w:fill="auto"/>
          </w:tcPr>
          <w:p w14:paraId="5D39FBC1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70-79</w:t>
            </w:r>
          </w:p>
        </w:tc>
        <w:tc>
          <w:tcPr>
            <w:tcW w:w="1744" w:type="dxa"/>
          </w:tcPr>
          <w:p w14:paraId="147C0A63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273,537</w:t>
            </w:r>
          </w:p>
          <w:p w14:paraId="75A72153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(8.9%)</w:t>
            </w:r>
          </w:p>
        </w:tc>
        <w:tc>
          <w:tcPr>
            <w:tcW w:w="1744" w:type="dxa"/>
          </w:tcPr>
          <w:p w14:paraId="27B6512F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18553E6F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1948F14F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5BBC9853" w14:textId="77777777" w:rsidTr="00067E98">
        <w:tc>
          <w:tcPr>
            <w:tcW w:w="2448" w:type="dxa"/>
            <w:shd w:val="clear" w:color="auto" w:fill="auto"/>
          </w:tcPr>
          <w:p w14:paraId="1A333074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80+</w:t>
            </w:r>
          </w:p>
        </w:tc>
        <w:tc>
          <w:tcPr>
            <w:tcW w:w="1744" w:type="dxa"/>
          </w:tcPr>
          <w:p w14:paraId="38D698CC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256,220</w:t>
            </w:r>
          </w:p>
          <w:p w14:paraId="1BB0AEF7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(8.3%)</w:t>
            </w:r>
          </w:p>
        </w:tc>
        <w:tc>
          <w:tcPr>
            <w:tcW w:w="1744" w:type="dxa"/>
          </w:tcPr>
          <w:p w14:paraId="6434FFF0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745" w:type="dxa"/>
          </w:tcPr>
          <w:p w14:paraId="604B7B98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--</w:t>
            </w:r>
          </w:p>
        </w:tc>
        <w:tc>
          <w:tcPr>
            <w:tcW w:w="1175" w:type="dxa"/>
            <w:shd w:val="clear" w:color="auto" w:fill="auto"/>
          </w:tcPr>
          <w:p w14:paraId="4AD15527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737A4E68" w14:textId="77777777" w:rsidTr="00067E98">
        <w:tc>
          <w:tcPr>
            <w:tcW w:w="2448" w:type="dxa"/>
            <w:shd w:val="clear" w:color="auto" w:fill="auto"/>
          </w:tcPr>
          <w:p w14:paraId="6D2C9C37" w14:textId="77777777" w:rsidR="006E29B0" w:rsidRPr="009935A3" w:rsidRDefault="006E29B0" w:rsidP="00067E98">
            <w:pPr>
              <w:spacing w:line="480" w:lineRule="auto"/>
              <w:rPr>
                <w:b/>
              </w:rPr>
            </w:pPr>
            <w:r w:rsidRPr="009935A3">
              <w:rPr>
                <w:b/>
              </w:rPr>
              <w:lastRenderedPageBreak/>
              <w:t>Sex</w:t>
            </w:r>
          </w:p>
        </w:tc>
        <w:tc>
          <w:tcPr>
            <w:tcW w:w="1744" w:type="dxa"/>
          </w:tcPr>
          <w:p w14:paraId="6371D1AE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4" w:type="dxa"/>
          </w:tcPr>
          <w:p w14:paraId="2085E90A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5" w:type="dxa"/>
          </w:tcPr>
          <w:p w14:paraId="4C49DC87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489E1437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t>0.01</w:t>
            </w:r>
          </w:p>
        </w:tc>
      </w:tr>
      <w:tr w:rsidR="006E29B0" w:rsidRPr="009935A3" w14:paraId="29C2A26F" w14:textId="77777777" w:rsidTr="00067E98">
        <w:tc>
          <w:tcPr>
            <w:tcW w:w="2448" w:type="dxa"/>
            <w:shd w:val="clear" w:color="auto" w:fill="auto"/>
          </w:tcPr>
          <w:p w14:paraId="361ED01C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Male</w:t>
            </w:r>
          </w:p>
        </w:tc>
        <w:tc>
          <w:tcPr>
            <w:tcW w:w="1744" w:type="dxa"/>
          </w:tcPr>
          <w:p w14:paraId="5722A467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1,383,681</w:t>
            </w:r>
          </w:p>
          <w:p w14:paraId="6709E246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(44.9%)</w:t>
            </w:r>
          </w:p>
        </w:tc>
        <w:tc>
          <w:tcPr>
            <w:tcW w:w="1744" w:type="dxa"/>
          </w:tcPr>
          <w:p w14:paraId="013A95FD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668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129</w:t>
            </w:r>
          </w:p>
          <w:p w14:paraId="3F98B65E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(44.9%)</w:t>
            </w:r>
          </w:p>
        </w:tc>
        <w:tc>
          <w:tcPr>
            <w:tcW w:w="1745" w:type="dxa"/>
          </w:tcPr>
          <w:p w14:paraId="60991B79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715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552</w:t>
            </w:r>
          </w:p>
          <w:p w14:paraId="6CBFE8C4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(45.0%)</w:t>
            </w:r>
          </w:p>
        </w:tc>
        <w:tc>
          <w:tcPr>
            <w:tcW w:w="1175" w:type="dxa"/>
            <w:shd w:val="clear" w:color="auto" w:fill="auto"/>
          </w:tcPr>
          <w:p w14:paraId="1951920E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695CD775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3CA5921F" w14:textId="77777777" w:rsidTr="00067E98">
        <w:tc>
          <w:tcPr>
            <w:tcW w:w="2448" w:type="dxa"/>
            <w:shd w:val="clear" w:color="auto" w:fill="auto"/>
          </w:tcPr>
          <w:p w14:paraId="2ADE4AA0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Female</w:t>
            </w:r>
          </w:p>
        </w:tc>
        <w:tc>
          <w:tcPr>
            <w:tcW w:w="1744" w:type="dxa"/>
          </w:tcPr>
          <w:p w14:paraId="2CE1AED9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1,694,478</w:t>
            </w:r>
          </w:p>
          <w:p w14:paraId="68FD82B0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(55.1%)</w:t>
            </w:r>
          </w:p>
        </w:tc>
        <w:tc>
          <w:tcPr>
            <w:tcW w:w="1744" w:type="dxa"/>
          </w:tcPr>
          <w:p w14:paraId="608B7B31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820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667</w:t>
            </w:r>
          </w:p>
          <w:p w14:paraId="6201FE29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(55.1%)</w:t>
            </w:r>
          </w:p>
        </w:tc>
        <w:tc>
          <w:tcPr>
            <w:tcW w:w="1745" w:type="dxa"/>
          </w:tcPr>
          <w:p w14:paraId="0180524D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873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811</w:t>
            </w:r>
          </w:p>
          <w:p w14:paraId="32E1FA90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(55.0%)</w:t>
            </w:r>
          </w:p>
        </w:tc>
        <w:tc>
          <w:tcPr>
            <w:tcW w:w="1175" w:type="dxa"/>
            <w:shd w:val="clear" w:color="auto" w:fill="auto"/>
          </w:tcPr>
          <w:p w14:paraId="22562EB2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5F4A3379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441EEC4D" w14:textId="77777777" w:rsidTr="00067E98">
        <w:tc>
          <w:tcPr>
            <w:tcW w:w="2448" w:type="dxa"/>
            <w:shd w:val="clear" w:color="auto" w:fill="auto"/>
          </w:tcPr>
          <w:p w14:paraId="36E3734C" w14:textId="77777777" w:rsidR="006E29B0" w:rsidRPr="009935A3" w:rsidRDefault="006E29B0" w:rsidP="00067E98">
            <w:pPr>
              <w:spacing w:line="480" w:lineRule="auto"/>
              <w:rPr>
                <w:b/>
              </w:rPr>
            </w:pPr>
            <w:r w:rsidRPr="009935A3">
              <w:rPr>
                <w:b/>
              </w:rPr>
              <w:t>Zip Code Level Percentage of Households Below Federal Poverty</w:t>
            </w:r>
          </w:p>
        </w:tc>
        <w:tc>
          <w:tcPr>
            <w:tcW w:w="1744" w:type="dxa"/>
          </w:tcPr>
          <w:p w14:paraId="4ECB01C0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4" w:type="dxa"/>
          </w:tcPr>
          <w:p w14:paraId="5D0F061A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5" w:type="dxa"/>
          </w:tcPr>
          <w:p w14:paraId="246A0E1B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13ABE28D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6E29B0" w:rsidRPr="009935A3" w14:paraId="38E86823" w14:textId="77777777" w:rsidTr="00067E98">
        <w:tc>
          <w:tcPr>
            <w:tcW w:w="2448" w:type="dxa"/>
            <w:shd w:val="clear" w:color="auto" w:fill="auto"/>
          </w:tcPr>
          <w:p w14:paraId="715C1ED6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0-9.99%</w:t>
            </w:r>
          </w:p>
        </w:tc>
        <w:tc>
          <w:tcPr>
            <w:tcW w:w="1744" w:type="dxa"/>
          </w:tcPr>
          <w:p w14:paraId="7617E1EA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1,586,856</w:t>
            </w:r>
          </w:p>
          <w:p w14:paraId="0D42B6B0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(51.6%)</w:t>
            </w:r>
          </w:p>
        </w:tc>
        <w:tc>
          <w:tcPr>
            <w:tcW w:w="1744" w:type="dxa"/>
          </w:tcPr>
          <w:p w14:paraId="536727F9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693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702</w:t>
            </w:r>
          </w:p>
          <w:p w14:paraId="3775517A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(46.6%)</w:t>
            </w:r>
          </w:p>
        </w:tc>
        <w:tc>
          <w:tcPr>
            <w:tcW w:w="1745" w:type="dxa"/>
          </w:tcPr>
          <w:p w14:paraId="2AC37CE1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893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154</w:t>
            </w:r>
          </w:p>
          <w:p w14:paraId="289A8920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(56.2%)</w:t>
            </w:r>
          </w:p>
        </w:tc>
        <w:tc>
          <w:tcPr>
            <w:tcW w:w="1175" w:type="dxa"/>
            <w:shd w:val="clear" w:color="auto" w:fill="auto"/>
          </w:tcPr>
          <w:p w14:paraId="4B8B4BBE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39E59DED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6F60E35F" w14:textId="77777777" w:rsidTr="00067E98">
        <w:tc>
          <w:tcPr>
            <w:tcW w:w="2448" w:type="dxa"/>
            <w:shd w:val="clear" w:color="auto" w:fill="auto"/>
          </w:tcPr>
          <w:p w14:paraId="46EFD4CA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10-19.99%</w:t>
            </w:r>
          </w:p>
        </w:tc>
        <w:tc>
          <w:tcPr>
            <w:tcW w:w="1744" w:type="dxa"/>
          </w:tcPr>
          <w:p w14:paraId="79C32D8F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878,704</w:t>
            </w:r>
          </w:p>
          <w:p w14:paraId="4FB7C188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(28.6%)</w:t>
            </w:r>
          </w:p>
        </w:tc>
        <w:tc>
          <w:tcPr>
            <w:tcW w:w="1744" w:type="dxa"/>
          </w:tcPr>
          <w:p w14:paraId="57885E8A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452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960</w:t>
            </w:r>
          </w:p>
          <w:p w14:paraId="259FAFB2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(30.4%)</w:t>
            </w:r>
          </w:p>
        </w:tc>
        <w:tc>
          <w:tcPr>
            <w:tcW w:w="1745" w:type="dxa"/>
          </w:tcPr>
          <w:p w14:paraId="7A241827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425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744</w:t>
            </w:r>
          </w:p>
          <w:p w14:paraId="55BF7DDD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(26.8%)</w:t>
            </w:r>
          </w:p>
        </w:tc>
        <w:tc>
          <w:tcPr>
            <w:tcW w:w="1175" w:type="dxa"/>
            <w:shd w:val="clear" w:color="auto" w:fill="auto"/>
          </w:tcPr>
          <w:p w14:paraId="2E4C5E21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42C3DF78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00AEB4B5" w14:textId="77777777" w:rsidTr="00067E98">
        <w:tc>
          <w:tcPr>
            <w:tcW w:w="2448" w:type="dxa"/>
            <w:shd w:val="clear" w:color="auto" w:fill="auto"/>
          </w:tcPr>
          <w:p w14:paraId="72FF991D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20-29.99%</w:t>
            </w:r>
          </w:p>
        </w:tc>
        <w:tc>
          <w:tcPr>
            <w:tcW w:w="1744" w:type="dxa"/>
          </w:tcPr>
          <w:p w14:paraId="52A1D310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414,905</w:t>
            </w:r>
          </w:p>
          <w:p w14:paraId="252AEB73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(13.5%)</w:t>
            </w:r>
          </w:p>
        </w:tc>
        <w:tc>
          <w:tcPr>
            <w:tcW w:w="1744" w:type="dxa"/>
          </w:tcPr>
          <w:p w14:paraId="7A975E0F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227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307</w:t>
            </w:r>
          </w:p>
          <w:p w14:paraId="1C006A00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(15.3%)</w:t>
            </w:r>
          </w:p>
        </w:tc>
        <w:tc>
          <w:tcPr>
            <w:tcW w:w="1745" w:type="dxa"/>
          </w:tcPr>
          <w:p w14:paraId="56EF41EA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187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598</w:t>
            </w:r>
          </w:p>
          <w:p w14:paraId="33C08586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(11.8%)</w:t>
            </w:r>
          </w:p>
        </w:tc>
        <w:tc>
          <w:tcPr>
            <w:tcW w:w="1175" w:type="dxa"/>
            <w:shd w:val="clear" w:color="auto" w:fill="auto"/>
          </w:tcPr>
          <w:p w14:paraId="7BCF4582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59AA98A4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3FB95B5C" w14:textId="77777777" w:rsidTr="00067E98">
        <w:tc>
          <w:tcPr>
            <w:tcW w:w="2448" w:type="dxa"/>
            <w:shd w:val="clear" w:color="auto" w:fill="auto"/>
          </w:tcPr>
          <w:p w14:paraId="49573129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30%+</w:t>
            </w:r>
          </w:p>
        </w:tc>
        <w:tc>
          <w:tcPr>
            <w:tcW w:w="1744" w:type="dxa"/>
          </w:tcPr>
          <w:p w14:paraId="3105CE95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151,103</w:t>
            </w:r>
          </w:p>
          <w:p w14:paraId="46D30385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(4.9%)</w:t>
            </w:r>
          </w:p>
        </w:tc>
        <w:tc>
          <w:tcPr>
            <w:tcW w:w="1744" w:type="dxa"/>
          </w:tcPr>
          <w:p w14:paraId="283AD38B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92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650</w:t>
            </w:r>
          </w:p>
          <w:p w14:paraId="73D2473F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(6.2%)</w:t>
            </w:r>
          </w:p>
        </w:tc>
        <w:tc>
          <w:tcPr>
            <w:tcW w:w="1745" w:type="dxa"/>
          </w:tcPr>
          <w:p w14:paraId="65042E3A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58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453</w:t>
            </w:r>
          </w:p>
          <w:p w14:paraId="6C6E481A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(3.7%)</w:t>
            </w:r>
          </w:p>
        </w:tc>
        <w:tc>
          <w:tcPr>
            <w:tcW w:w="1175" w:type="dxa"/>
            <w:shd w:val="clear" w:color="auto" w:fill="auto"/>
          </w:tcPr>
          <w:p w14:paraId="5DD0EFE6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33903E78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6C3BBF0F" w14:textId="77777777" w:rsidTr="00067E98">
        <w:tc>
          <w:tcPr>
            <w:tcW w:w="2448" w:type="dxa"/>
            <w:shd w:val="clear" w:color="auto" w:fill="auto"/>
          </w:tcPr>
          <w:p w14:paraId="44F2A320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Missing</w:t>
            </w:r>
          </w:p>
        </w:tc>
        <w:tc>
          <w:tcPr>
            <w:tcW w:w="1744" w:type="dxa"/>
          </w:tcPr>
          <w:p w14:paraId="2B68E023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46,595</w:t>
            </w:r>
          </w:p>
          <w:p w14:paraId="716B6C90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(1.5%)</w:t>
            </w:r>
          </w:p>
        </w:tc>
        <w:tc>
          <w:tcPr>
            <w:tcW w:w="1744" w:type="dxa"/>
          </w:tcPr>
          <w:p w14:paraId="4130C5F3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22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179</w:t>
            </w:r>
          </w:p>
          <w:p w14:paraId="0726DC03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(1.5%)</w:t>
            </w:r>
          </w:p>
        </w:tc>
        <w:tc>
          <w:tcPr>
            <w:tcW w:w="1745" w:type="dxa"/>
          </w:tcPr>
          <w:p w14:paraId="78D325AB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24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416</w:t>
            </w:r>
          </w:p>
          <w:p w14:paraId="5759155E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(1.5%)</w:t>
            </w:r>
          </w:p>
        </w:tc>
        <w:tc>
          <w:tcPr>
            <w:tcW w:w="1175" w:type="dxa"/>
            <w:shd w:val="clear" w:color="auto" w:fill="auto"/>
          </w:tcPr>
          <w:p w14:paraId="0F95A7EB" w14:textId="77777777" w:rsidR="006E29B0" w:rsidRPr="009935A3" w:rsidRDefault="006E29B0" w:rsidP="00067E98">
            <w:pPr>
              <w:spacing w:after="240"/>
              <w:jc w:val="center"/>
              <w:rPr>
                <w:color w:val="000000"/>
              </w:rPr>
            </w:pPr>
            <w:r w:rsidRPr="009935A3">
              <w:rPr>
                <w:color w:val="000000"/>
              </w:rPr>
              <w:br/>
            </w:r>
          </w:p>
          <w:p w14:paraId="7B57A401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667733F2" w14:textId="77777777" w:rsidTr="00067E98">
        <w:tc>
          <w:tcPr>
            <w:tcW w:w="2448" w:type="dxa"/>
            <w:shd w:val="clear" w:color="auto" w:fill="auto"/>
          </w:tcPr>
          <w:p w14:paraId="4B1D96AA" w14:textId="77777777" w:rsidR="006E29B0" w:rsidRPr="009935A3" w:rsidRDefault="006E29B0" w:rsidP="00067E98">
            <w:pPr>
              <w:spacing w:line="480" w:lineRule="auto"/>
              <w:rPr>
                <w:b/>
              </w:rPr>
            </w:pPr>
            <w:r w:rsidRPr="009935A3">
              <w:rPr>
                <w:b/>
              </w:rPr>
              <w:lastRenderedPageBreak/>
              <w:t>Comorbid Conditions/History</w:t>
            </w:r>
          </w:p>
        </w:tc>
        <w:tc>
          <w:tcPr>
            <w:tcW w:w="1744" w:type="dxa"/>
          </w:tcPr>
          <w:p w14:paraId="4929C71B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4" w:type="dxa"/>
          </w:tcPr>
          <w:p w14:paraId="62C83E5C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5" w:type="dxa"/>
          </w:tcPr>
          <w:p w14:paraId="370D2A50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0F1CFF34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071893AD" w14:textId="77777777" w:rsidTr="00067E98">
        <w:tc>
          <w:tcPr>
            <w:tcW w:w="2448" w:type="dxa"/>
            <w:shd w:val="clear" w:color="auto" w:fill="auto"/>
          </w:tcPr>
          <w:p w14:paraId="0610C4C0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Major Depression</w:t>
            </w:r>
          </w:p>
        </w:tc>
        <w:tc>
          <w:tcPr>
            <w:tcW w:w="1744" w:type="dxa"/>
          </w:tcPr>
          <w:p w14:paraId="4C58BA90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544,179</w:t>
            </w:r>
          </w:p>
          <w:p w14:paraId="02FA04BA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(17.7%)</w:t>
            </w:r>
          </w:p>
        </w:tc>
        <w:tc>
          <w:tcPr>
            <w:tcW w:w="1744" w:type="dxa"/>
          </w:tcPr>
          <w:p w14:paraId="4C9401F3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241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694</w:t>
            </w:r>
          </w:p>
          <w:p w14:paraId="651BB1D3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(16.2%)</w:t>
            </w:r>
          </w:p>
        </w:tc>
        <w:tc>
          <w:tcPr>
            <w:tcW w:w="1745" w:type="dxa"/>
          </w:tcPr>
          <w:p w14:paraId="7281E7BB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302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485</w:t>
            </w:r>
          </w:p>
          <w:p w14:paraId="7CA3E957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(19.0%)</w:t>
            </w:r>
          </w:p>
        </w:tc>
        <w:tc>
          <w:tcPr>
            <w:tcW w:w="1175" w:type="dxa"/>
            <w:shd w:val="clear" w:color="auto" w:fill="auto"/>
          </w:tcPr>
          <w:p w14:paraId="373BAAEA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rPr>
                <w:color w:val="000000"/>
                <w:shd w:val="clear" w:color="auto" w:fill="FFFFFF"/>
              </w:rPr>
              <w:t>&lt;</w:t>
            </w:r>
            <w:r>
              <w:rPr>
                <w:color w:val="000000"/>
                <w:shd w:val="clear" w:color="auto" w:fill="FFFFFF"/>
              </w:rPr>
              <w:t xml:space="preserve"> 0.</w:t>
            </w:r>
            <w:r w:rsidRPr="009935A3">
              <w:rPr>
                <w:color w:val="000000"/>
                <w:shd w:val="clear" w:color="auto" w:fill="FFFFFF"/>
              </w:rPr>
              <w:t>001</w:t>
            </w:r>
          </w:p>
        </w:tc>
      </w:tr>
      <w:tr w:rsidR="006E29B0" w:rsidRPr="009935A3" w14:paraId="1C6232E6" w14:textId="77777777" w:rsidTr="00067E98">
        <w:tc>
          <w:tcPr>
            <w:tcW w:w="2448" w:type="dxa"/>
            <w:shd w:val="clear" w:color="auto" w:fill="auto"/>
          </w:tcPr>
          <w:p w14:paraId="54E5FDF5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Alcohol Use Disorder</w:t>
            </w:r>
          </w:p>
        </w:tc>
        <w:tc>
          <w:tcPr>
            <w:tcW w:w="1744" w:type="dxa"/>
          </w:tcPr>
          <w:p w14:paraId="164C7CFE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140,206</w:t>
            </w:r>
          </w:p>
          <w:p w14:paraId="0F63DFB6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(4.3%)</w:t>
            </w:r>
          </w:p>
        </w:tc>
        <w:tc>
          <w:tcPr>
            <w:tcW w:w="1744" w:type="dxa"/>
          </w:tcPr>
          <w:p w14:paraId="058A0EE1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69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346</w:t>
            </w:r>
          </w:p>
          <w:p w14:paraId="1C698556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(4.7%)</w:t>
            </w:r>
          </w:p>
        </w:tc>
        <w:tc>
          <w:tcPr>
            <w:tcW w:w="1745" w:type="dxa"/>
          </w:tcPr>
          <w:p w14:paraId="172D058B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70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860</w:t>
            </w:r>
          </w:p>
          <w:p w14:paraId="353A5C0B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(4.5%)</w:t>
            </w:r>
          </w:p>
        </w:tc>
        <w:tc>
          <w:tcPr>
            <w:tcW w:w="1175" w:type="dxa"/>
            <w:shd w:val="clear" w:color="auto" w:fill="auto"/>
          </w:tcPr>
          <w:p w14:paraId="1AE9F4D4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rPr>
                <w:color w:val="000000"/>
                <w:shd w:val="clear" w:color="auto" w:fill="FFFFFF"/>
              </w:rPr>
              <w:t>&lt;</w:t>
            </w:r>
            <w:r>
              <w:rPr>
                <w:color w:val="000000"/>
                <w:shd w:val="clear" w:color="auto" w:fill="FFFFFF"/>
              </w:rPr>
              <w:t xml:space="preserve"> 0.</w:t>
            </w:r>
            <w:r w:rsidRPr="009935A3">
              <w:rPr>
                <w:color w:val="000000"/>
                <w:shd w:val="clear" w:color="auto" w:fill="FFFFFF"/>
              </w:rPr>
              <w:t>001</w:t>
            </w:r>
          </w:p>
        </w:tc>
      </w:tr>
      <w:tr w:rsidR="006E29B0" w:rsidRPr="009935A3" w14:paraId="1F409EBC" w14:textId="77777777" w:rsidTr="00067E98">
        <w:tc>
          <w:tcPr>
            <w:tcW w:w="2448" w:type="dxa"/>
            <w:shd w:val="clear" w:color="auto" w:fill="auto"/>
          </w:tcPr>
          <w:p w14:paraId="7E4758C6" w14:textId="77777777" w:rsidR="006E29B0" w:rsidRPr="009935A3" w:rsidRDefault="006E29B0" w:rsidP="00067E98">
            <w:pPr>
              <w:spacing w:line="480" w:lineRule="auto"/>
              <w:rPr>
                <w:b/>
              </w:rPr>
            </w:pPr>
            <w:r w:rsidRPr="009935A3">
              <w:rPr>
                <w:b/>
              </w:rPr>
              <w:t>Main Study Outcomes</w:t>
            </w:r>
          </w:p>
        </w:tc>
        <w:tc>
          <w:tcPr>
            <w:tcW w:w="1744" w:type="dxa"/>
          </w:tcPr>
          <w:p w14:paraId="12259F1D" w14:textId="77777777" w:rsidR="006E29B0" w:rsidRPr="009935A3" w:rsidRDefault="006E29B0" w:rsidP="00067E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4855E6B0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745" w:type="dxa"/>
          </w:tcPr>
          <w:p w14:paraId="227FCEE6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1C3102AE" w14:textId="77777777" w:rsidR="006E29B0" w:rsidRPr="009935A3" w:rsidRDefault="006E29B0" w:rsidP="00067E98">
            <w:pPr>
              <w:spacing w:line="480" w:lineRule="auto"/>
              <w:jc w:val="center"/>
            </w:pPr>
          </w:p>
        </w:tc>
      </w:tr>
      <w:tr w:rsidR="006E29B0" w:rsidRPr="009935A3" w14:paraId="23E0F541" w14:textId="77777777" w:rsidTr="00067E98">
        <w:tc>
          <w:tcPr>
            <w:tcW w:w="2448" w:type="dxa"/>
            <w:shd w:val="clear" w:color="auto" w:fill="auto"/>
          </w:tcPr>
          <w:p w14:paraId="0D165DC1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All-Cause Mortality</w:t>
            </w:r>
          </w:p>
        </w:tc>
        <w:tc>
          <w:tcPr>
            <w:tcW w:w="1744" w:type="dxa"/>
          </w:tcPr>
          <w:p w14:paraId="2E176538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133,633</w:t>
            </w:r>
          </w:p>
          <w:p w14:paraId="5292E059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(4.3%)</w:t>
            </w:r>
          </w:p>
        </w:tc>
        <w:tc>
          <w:tcPr>
            <w:tcW w:w="1744" w:type="dxa"/>
          </w:tcPr>
          <w:p w14:paraId="67B5895A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281</w:t>
            </w:r>
          </w:p>
          <w:p w14:paraId="3A63256D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(0.6%)</w:t>
            </w:r>
          </w:p>
        </w:tc>
        <w:tc>
          <w:tcPr>
            <w:tcW w:w="1745" w:type="dxa"/>
          </w:tcPr>
          <w:p w14:paraId="089F9760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132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118</w:t>
            </w:r>
          </w:p>
          <w:p w14:paraId="6D7EEA01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(8.3%)</w:t>
            </w:r>
          </w:p>
        </w:tc>
        <w:tc>
          <w:tcPr>
            <w:tcW w:w="1175" w:type="dxa"/>
            <w:shd w:val="clear" w:color="auto" w:fill="auto"/>
          </w:tcPr>
          <w:p w14:paraId="38E4280B" w14:textId="77777777" w:rsidR="006E29B0" w:rsidRPr="009935A3" w:rsidRDefault="006E29B0" w:rsidP="00067E98">
            <w:pPr>
              <w:spacing w:line="480" w:lineRule="auto"/>
              <w:jc w:val="center"/>
            </w:pPr>
            <w:r w:rsidRPr="006303EB">
              <w:rPr>
                <w:color w:val="000000"/>
                <w:shd w:val="clear" w:color="auto" w:fill="FFFFFF"/>
              </w:rPr>
              <w:t>&lt; 0.001</w:t>
            </w:r>
          </w:p>
        </w:tc>
      </w:tr>
      <w:tr w:rsidR="006E29B0" w:rsidRPr="009935A3" w14:paraId="7602C2AB" w14:textId="77777777" w:rsidTr="00067E98">
        <w:tc>
          <w:tcPr>
            <w:tcW w:w="2448" w:type="dxa"/>
            <w:shd w:val="clear" w:color="auto" w:fill="auto"/>
          </w:tcPr>
          <w:p w14:paraId="082D8E7E" w14:textId="77777777" w:rsidR="006E29B0" w:rsidRPr="009935A3" w:rsidRDefault="006E29B0" w:rsidP="00067E98">
            <w:pPr>
              <w:spacing w:line="480" w:lineRule="auto"/>
            </w:pPr>
            <w:r w:rsidRPr="009935A3">
              <w:t xml:space="preserve">   Fatal Opioid Overdose</w:t>
            </w:r>
          </w:p>
        </w:tc>
        <w:tc>
          <w:tcPr>
            <w:tcW w:w="1744" w:type="dxa"/>
          </w:tcPr>
          <w:p w14:paraId="56C01D03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3,508</w:t>
            </w:r>
          </w:p>
          <w:p w14:paraId="2325E07F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(0.11%)</w:t>
            </w:r>
          </w:p>
        </w:tc>
        <w:tc>
          <w:tcPr>
            <w:tcW w:w="1744" w:type="dxa"/>
          </w:tcPr>
          <w:p w14:paraId="7F222AE5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602</w:t>
            </w:r>
          </w:p>
          <w:p w14:paraId="5CD48D53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(0.2%)</w:t>
            </w:r>
          </w:p>
        </w:tc>
        <w:tc>
          <w:tcPr>
            <w:tcW w:w="1745" w:type="dxa"/>
          </w:tcPr>
          <w:p w14:paraId="613E85FD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906</w:t>
            </w:r>
          </w:p>
          <w:p w14:paraId="36A716C6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(0.06%)</w:t>
            </w:r>
          </w:p>
        </w:tc>
        <w:tc>
          <w:tcPr>
            <w:tcW w:w="1175" w:type="dxa"/>
            <w:shd w:val="clear" w:color="auto" w:fill="auto"/>
          </w:tcPr>
          <w:p w14:paraId="432177EE" w14:textId="77777777" w:rsidR="006E29B0" w:rsidRPr="009935A3" w:rsidRDefault="006E29B0" w:rsidP="00067E98">
            <w:pPr>
              <w:spacing w:line="480" w:lineRule="auto"/>
              <w:jc w:val="center"/>
            </w:pPr>
            <w:r w:rsidRPr="006303EB">
              <w:rPr>
                <w:color w:val="000000"/>
                <w:shd w:val="clear" w:color="auto" w:fill="FFFFFF"/>
              </w:rPr>
              <w:t>&lt; 0.001</w:t>
            </w:r>
          </w:p>
        </w:tc>
      </w:tr>
      <w:tr w:rsidR="006E29B0" w:rsidRPr="009935A3" w14:paraId="4D137D7B" w14:textId="77777777" w:rsidTr="00067E98">
        <w:tc>
          <w:tcPr>
            <w:tcW w:w="2448" w:type="dxa"/>
            <w:shd w:val="clear" w:color="auto" w:fill="auto"/>
          </w:tcPr>
          <w:p w14:paraId="62F318D3" w14:textId="77777777" w:rsidR="006E29B0" w:rsidRPr="009935A3" w:rsidRDefault="006E29B0" w:rsidP="00067E98">
            <w:pPr>
              <w:spacing w:line="480" w:lineRule="auto"/>
              <w:rPr>
                <w:highlight w:val="yellow"/>
              </w:rPr>
            </w:pPr>
            <w:r w:rsidRPr="009935A3">
              <w:t xml:space="preserve">   Non-Fatal Opioid Overdose</w:t>
            </w:r>
          </w:p>
        </w:tc>
        <w:tc>
          <w:tcPr>
            <w:tcW w:w="1744" w:type="dxa"/>
          </w:tcPr>
          <w:p w14:paraId="230C367D" w14:textId="77777777" w:rsidR="006E29B0" w:rsidRPr="009935A3" w:rsidRDefault="006E29B0" w:rsidP="00067E98">
            <w:pPr>
              <w:spacing w:line="480" w:lineRule="auto"/>
              <w:jc w:val="center"/>
            </w:pPr>
            <w:r w:rsidRPr="009935A3">
              <w:t>22,250</w:t>
            </w:r>
          </w:p>
          <w:p w14:paraId="2693191A" w14:textId="77777777" w:rsidR="006E29B0" w:rsidRPr="009935A3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t>(0.72%)</w:t>
            </w:r>
          </w:p>
        </w:tc>
        <w:tc>
          <w:tcPr>
            <w:tcW w:w="1744" w:type="dxa"/>
          </w:tcPr>
          <w:p w14:paraId="7436BD0E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098</w:t>
            </w:r>
          </w:p>
          <w:p w14:paraId="72FFAE48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(1.0%)</w:t>
            </w:r>
          </w:p>
        </w:tc>
        <w:tc>
          <w:tcPr>
            <w:tcW w:w="1745" w:type="dxa"/>
          </w:tcPr>
          <w:p w14:paraId="55CDE515" w14:textId="77777777" w:rsidR="006E29B0" w:rsidRDefault="006E29B0" w:rsidP="00067E98">
            <w:pPr>
              <w:spacing w:line="480" w:lineRule="auto"/>
              <w:jc w:val="center"/>
              <w:rPr>
                <w:color w:val="000000"/>
                <w:shd w:val="clear" w:color="auto" w:fill="FFFFFF"/>
              </w:rPr>
            </w:pPr>
            <w:r w:rsidRPr="009935A3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,</w:t>
            </w:r>
            <w:r w:rsidRPr="009935A3">
              <w:rPr>
                <w:color w:val="000000"/>
                <w:shd w:val="clear" w:color="auto" w:fill="FFFFFF"/>
              </w:rPr>
              <w:t>406</w:t>
            </w:r>
          </w:p>
          <w:p w14:paraId="56DA4A3E" w14:textId="77777777" w:rsidR="006E29B0" w:rsidRPr="009935A3" w:rsidRDefault="006E29B0" w:rsidP="00067E98">
            <w:pPr>
              <w:spacing w:line="480" w:lineRule="auto"/>
              <w:jc w:val="center"/>
            </w:pPr>
            <w:r>
              <w:rPr>
                <w:color w:val="000000"/>
                <w:shd w:val="clear" w:color="auto" w:fill="FFFFFF"/>
              </w:rPr>
              <w:t>(0.5%)</w:t>
            </w:r>
          </w:p>
        </w:tc>
        <w:tc>
          <w:tcPr>
            <w:tcW w:w="1175" w:type="dxa"/>
            <w:shd w:val="clear" w:color="auto" w:fill="auto"/>
          </w:tcPr>
          <w:p w14:paraId="0F5F10C8" w14:textId="77777777" w:rsidR="006E29B0" w:rsidRPr="009935A3" w:rsidRDefault="006E29B0" w:rsidP="00067E98">
            <w:pPr>
              <w:spacing w:line="480" w:lineRule="auto"/>
              <w:jc w:val="center"/>
            </w:pPr>
            <w:r w:rsidRPr="006303EB">
              <w:rPr>
                <w:color w:val="000000"/>
                <w:shd w:val="clear" w:color="auto" w:fill="FFFFFF"/>
              </w:rPr>
              <w:t>&lt; 0.001</w:t>
            </w:r>
          </w:p>
        </w:tc>
      </w:tr>
    </w:tbl>
    <w:p w14:paraId="7FC1B3B1" w14:textId="77777777" w:rsidR="006E29B0" w:rsidRPr="009935A3" w:rsidRDefault="006E29B0" w:rsidP="006E29B0">
      <w:pPr>
        <w:spacing w:line="480" w:lineRule="auto"/>
        <w:ind w:left="720"/>
      </w:pPr>
    </w:p>
    <w:p w14:paraId="45178F9A" w14:textId="77777777" w:rsidR="006E29B0" w:rsidRPr="009935A3" w:rsidRDefault="006E29B0" w:rsidP="006E29B0">
      <w:pPr>
        <w:spacing w:line="480" w:lineRule="auto"/>
        <w:ind w:left="720"/>
      </w:pPr>
      <w:r w:rsidRPr="009935A3">
        <w:t>*Comparing older and younger recipients of prescription opioids.</w:t>
      </w:r>
    </w:p>
    <w:p w14:paraId="5560EAD1" w14:textId="77777777" w:rsidR="00EB50A5" w:rsidRDefault="00505FBE"/>
    <w:sectPr w:rsidR="00EB50A5" w:rsidSect="0032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DE"/>
    <w:rsid w:val="00001B6B"/>
    <w:rsid w:val="00016159"/>
    <w:rsid w:val="000201F5"/>
    <w:rsid w:val="00026F61"/>
    <w:rsid w:val="000272DD"/>
    <w:rsid w:val="00055D44"/>
    <w:rsid w:val="0006084E"/>
    <w:rsid w:val="000647F5"/>
    <w:rsid w:val="00066EE7"/>
    <w:rsid w:val="00071C3F"/>
    <w:rsid w:val="00083B17"/>
    <w:rsid w:val="00094B77"/>
    <w:rsid w:val="00096F8C"/>
    <w:rsid w:val="000A264F"/>
    <w:rsid w:val="000A2C8A"/>
    <w:rsid w:val="000B1FB3"/>
    <w:rsid w:val="000D5D9A"/>
    <w:rsid w:val="000E50EE"/>
    <w:rsid w:val="000F3408"/>
    <w:rsid w:val="000F7B18"/>
    <w:rsid w:val="00101DDD"/>
    <w:rsid w:val="00106550"/>
    <w:rsid w:val="00112AEA"/>
    <w:rsid w:val="001173E8"/>
    <w:rsid w:val="00121A31"/>
    <w:rsid w:val="0012403F"/>
    <w:rsid w:val="00132C53"/>
    <w:rsid w:val="00135FD1"/>
    <w:rsid w:val="00137C51"/>
    <w:rsid w:val="001564C3"/>
    <w:rsid w:val="00161E07"/>
    <w:rsid w:val="00172255"/>
    <w:rsid w:val="0018341F"/>
    <w:rsid w:val="00193F4A"/>
    <w:rsid w:val="001A3820"/>
    <w:rsid w:val="001A7F95"/>
    <w:rsid w:val="001B0EA8"/>
    <w:rsid w:val="001C51C0"/>
    <w:rsid w:val="001C6CDB"/>
    <w:rsid w:val="001C7B83"/>
    <w:rsid w:val="001D5DDA"/>
    <w:rsid w:val="001E3FC8"/>
    <w:rsid w:val="001E52FC"/>
    <w:rsid w:val="001F26BE"/>
    <w:rsid w:val="001F42B5"/>
    <w:rsid w:val="002209A0"/>
    <w:rsid w:val="0022407F"/>
    <w:rsid w:val="002241CB"/>
    <w:rsid w:val="00230D00"/>
    <w:rsid w:val="00235BFA"/>
    <w:rsid w:val="0023670A"/>
    <w:rsid w:val="00237B73"/>
    <w:rsid w:val="00237D76"/>
    <w:rsid w:val="002524BD"/>
    <w:rsid w:val="002524E2"/>
    <w:rsid w:val="00256377"/>
    <w:rsid w:val="00260834"/>
    <w:rsid w:val="00262510"/>
    <w:rsid w:val="00270549"/>
    <w:rsid w:val="00275628"/>
    <w:rsid w:val="00275712"/>
    <w:rsid w:val="00281159"/>
    <w:rsid w:val="00286A6E"/>
    <w:rsid w:val="002A0A69"/>
    <w:rsid w:val="002A39E6"/>
    <w:rsid w:val="002B416D"/>
    <w:rsid w:val="002B6A45"/>
    <w:rsid w:val="002C00E3"/>
    <w:rsid w:val="002C183B"/>
    <w:rsid w:val="002D1893"/>
    <w:rsid w:val="002D4DBC"/>
    <w:rsid w:val="002F2581"/>
    <w:rsid w:val="002F6AFE"/>
    <w:rsid w:val="00301309"/>
    <w:rsid w:val="00301A1F"/>
    <w:rsid w:val="00303383"/>
    <w:rsid w:val="0030466B"/>
    <w:rsid w:val="003054CD"/>
    <w:rsid w:val="003220C7"/>
    <w:rsid w:val="003222B1"/>
    <w:rsid w:val="00325C2F"/>
    <w:rsid w:val="00335D1F"/>
    <w:rsid w:val="00346AEA"/>
    <w:rsid w:val="003547A8"/>
    <w:rsid w:val="00357327"/>
    <w:rsid w:val="00364BF2"/>
    <w:rsid w:val="00365748"/>
    <w:rsid w:val="00367213"/>
    <w:rsid w:val="003740A1"/>
    <w:rsid w:val="00375D1E"/>
    <w:rsid w:val="00386E11"/>
    <w:rsid w:val="00394030"/>
    <w:rsid w:val="00397B60"/>
    <w:rsid w:val="003B3ED5"/>
    <w:rsid w:val="003B5EC6"/>
    <w:rsid w:val="003C54E0"/>
    <w:rsid w:val="003C5ECD"/>
    <w:rsid w:val="003C6053"/>
    <w:rsid w:val="003D3CDC"/>
    <w:rsid w:val="003D69EA"/>
    <w:rsid w:val="003F3229"/>
    <w:rsid w:val="003F567B"/>
    <w:rsid w:val="00407602"/>
    <w:rsid w:val="00411DEF"/>
    <w:rsid w:val="00414AE8"/>
    <w:rsid w:val="0041794D"/>
    <w:rsid w:val="00424F2B"/>
    <w:rsid w:val="00434FDF"/>
    <w:rsid w:val="0043646F"/>
    <w:rsid w:val="00441563"/>
    <w:rsid w:val="004609EC"/>
    <w:rsid w:val="00465B3D"/>
    <w:rsid w:val="00474533"/>
    <w:rsid w:val="004A0D0C"/>
    <w:rsid w:val="004A46BD"/>
    <w:rsid w:val="004B6DCB"/>
    <w:rsid w:val="004C5F35"/>
    <w:rsid w:val="004C7056"/>
    <w:rsid w:val="004D4AFC"/>
    <w:rsid w:val="004E015B"/>
    <w:rsid w:val="004E31ED"/>
    <w:rsid w:val="004E67A0"/>
    <w:rsid w:val="004F0653"/>
    <w:rsid w:val="004F1010"/>
    <w:rsid w:val="004F1971"/>
    <w:rsid w:val="00501B03"/>
    <w:rsid w:val="00505FBE"/>
    <w:rsid w:val="00511C57"/>
    <w:rsid w:val="00513CD9"/>
    <w:rsid w:val="005172F4"/>
    <w:rsid w:val="005258D7"/>
    <w:rsid w:val="00532463"/>
    <w:rsid w:val="0053550E"/>
    <w:rsid w:val="00550955"/>
    <w:rsid w:val="00553DCD"/>
    <w:rsid w:val="00556EA7"/>
    <w:rsid w:val="0056533E"/>
    <w:rsid w:val="00567D07"/>
    <w:rsid w:val="00573880"/>
    <w:rsid w:val="00577646"/>
    <w:rsid w:val="00591146"/>
    <w:rsid w:val="005B1C8D"/>
    <w:rsid w:val="005B39C8"/>
    <w:rsid w:val="005B3DDC"/>
    <w:rsid w:val="005C0C4D"/>
    <w:rsid w:val="005C206F"/>
    <w:rsid w:val="005C4BA1"/>
    <w:rsid w:val="005C7D9B"/>
    <w:rsid w:val="005E6156"/>
    <w:rsid w:val="00600425"/>
    <w:rsid w:val="00602832"/>
    <w:rsid w:val="00602A5B"/>
    <w:rsid w:val="00607600"/>
    <w:rsid w:val="00607728"/>
    <w:rsid w:val="00613F2D"/>
    <w:rsid w:val="00625A60"/>
    <w:rsid w:val="00630015"/>
    <w:rsid w:val="00647498"/>
    <w:rsid w:val="006536B0"/>
    <w:rsid w:val="006554B8"/>
    <w:rsid w:val="006561DB"/>
    <w:rsid w:val="006609BC"/>
    <w:rsid w:val="006611EB"/>
    <w:rsid w:val="00663FBE"/>
    <w:rsid w:val="00672AC2"/>
    <w:rsid w:val="00673B3C"/>
    <w:rsid w:val="00673EB3"/>
    <w:rsid w:val="00676FD9"/>
    <w:rsid w:val="00681BCD"/>
    <w:rsid w:val="00681C09"/>
    <w:rsid w:val="00691FA0"/>
    <w:rsid w:val="006A24BC"/>
    <w:rsid w:val="006A4FD7"/>
    <w:rsid w:val="006B1F02"/>
    <w:rsid w:val="006B5D0E"/>
    <w:rsid w:val="006C4CA9"/>
    <w:rsid w:val="006D5FA4"/>
    <w:rsid w:val="006E29A8"/>
    <w:rsid w:val="006E29B0"/>
    <w:rsid w:val="00700DF9"/>
    <w:rsid w:val="0071000F"/>
    <w:rsid w:val="007139F2"/>
    <w:rsid w:val="00734716"/>
    <w:rsid w:val="00736C87"/>
    <w:rsid w:val="00736CF7"/>
    <w:rsid w:val="00740B07"/>
    <w:rsid w:val="00745CB3"/>
    <w:rsid w:val="007528AB"/>
    <w:rsid w:val="00753497"/>
    <w:rsid w:val="0077407D"/>
    <w:rsid w:val="0078229E"/>
    <w:rsid w:val="007908DE"/>
    <w:rsid w:val="007A2FF1"/>
    <w:rsid w:val="007A3C8E"/>
    <w:rsid w:val="007B73FE"/>
    <w:rsid w:val="007C31D2"/>
    <w:rsid w:val="007C45D2"/>
    <w:rsid w:val="007C70F1"/>
    <w:rsid w:val="007D2455"/>
    <w:rsid w:val="0081575E"/>
    <w:rsid w:val="00836E7B"/>
    <w:rsid w:val="00847EBF"/>
    <w:rsid w:val="00862340"/>
    <w:rsid w:val="008674C9"/>
    <w:rsid w:val="0087396C"/>
    <w:rsid w:val="00876047"/>
    <w:rsid w:val="008826A1"/>
    <w:rsid w:val="0088578E"/>
    <w:rsid w:val="00887D71"/>
    <w:rsid w:val="008A0EAF"/>
    <w:rsid w:val="008A5C9D"/>
    <w:rsid w:val="008B319E"/>
    <w:rsid w:val="008C0A9B"/>
    <w:rsid w:val="008D05B7"/>
    <w:rsid w:val="008D0894"/>
    <w:rsid w:val="008D298E"/>
    <w:rsid w:val="008F0763"/>
    <w:rsid w:val="008F1AAF"/>
    <w:rsid w:val="00905A95"/>
    <w:rsid w:val="00910778"/>
    <w:rsid w:val="0091366D"/>
    <w:rsid w:val="00941532"/>
    <w:rsid w:val="009430A9"/>
    <w:rsid w:val="009509C6"/>
    <w:rsid w:val="009544DC"/>
    <w:rsid w:val="009841D9"/>
    <w:rsid w:val="0099085C"/>
    <w:rsid w:val="00994456"/>
    <w:rsid w:val="009967EA"/>
    <w:rsid w:val="009A4120"/>
    <w:rsid w:val="009B272C"/>
    <w:rsid w:val="009B3EE5"/>
    <w:rsid w:val="009B5C11"/>
    <w:rsid w:val="009C6C80"/>
    <w:rsid w:val="009D2960"/>
    <w:rsid w:val="009E04A4"/>
    <w:rsid w:val="009E2D67"/>
    <w:rsid w:val="009F5540"/>
    <w:rsid w:val="00A0208D"/>
    <w:rsid w:val="00A071FA"/>
    <w:rsid w:val="00A07ECE"/>
    <w:rsid w:val="00A1090C"/>
    <w:rsid w:val="00A72640"/>
    <w:rsid w:val="00A82E8B"/>
    <w:rsid w:val="00A84231"/>
    <w:rsid w:val="00A85606"/>
    <w:rsid w:val="00A900AE"/>
    <w:rsid w:val="00A943A8"/>
    <w:rsid w:val="00A94648"/>
    <w:rsid w:val="00AA208A"/>
    <w:rsid w:val="00AA3B24"/>
    <w:rsid w:val="00AB601E"/>
    <w:rsid w:val="00AB6BE1"/>
    <w:rsid w:val="00AC40F5"/>
    <w:rsid w:val="00AC4D64"/>
    <w:rsid w:val="00AE0B75"/>
    <w:rsid w:val="00AE3D53"/>
    <w:rsid w:val="00AF239D"/>
    <w:rsid w:val="00B029CB"/>
    <w:rsid w:val="00B12D2D"/>
    <w:rsid w:val="00B14EDB"/>
    <w:rsid w:val="00B17BEF"/>
    <w:rsid w:val="00B255BB"/>
    <w:rsid w:val="00B53AAB"/>
    <w:rsid w:val="00B54A49"/>
    <w:rsid w:val="00B54B28"/>
    <w:rsid w:val="00B552CB"/>
    <w:rsid w:val="00B60430"/>
    <w:rsid w:val="00B63688"/>
    <w:rsid w:val="00B65D00"/>
    <w:rsid w:val="00B679FA"/>
    <w:rsid w:val="00B72DF0"/>
    <w:rsid w:val="00B752F2"/>
    <w:rsid w:val="00B84551"/>
    <w:rsid w:val="00B84B9B"/>
    <w:rsid w:val="00B87BED"/>
    <w:rsid w:val="00B906C3"/>
    <w:rsid w:val="00BB14DA"/>
    <w:rsid w:val="00BB1E53"/>
    <w:rsid w:val="00BB61D7"/>
    <w:rsid w:val="00BC0235"/>
    <w:rsid w:val="00BC7780"/>
    <w:rsid w:val="00BD127A"/>
    <w:rsid w:val="00BD2E6F"/>
    <w:rsid w:val="00BD474A"/>
    <w:rsid w:val="00BD709E"/>
    <w:rsid w:val="00BE1573"/>
    <w:rsid w:val="00BE1A33"/>
    <w:rsid w:val="00BE57EA"/>
    <w:rsid w:val="00BE7615"/>
    <w:rsid w:val="00C03468"/>
    <w:rsid w:val="00C20E83"/>
    <w:rsid w:val="00C32323"/>
    <w:rsid w:val="00C33270"/>
    <w:rsid w:val="00C42D30"/>
    <w:rsid w:val="00C50520"/>
    <w:rsid w:val="00C54A8C"/>
    <w:rsid w:val="00C60D66"/>
    <w:rsid w:val="00C60E7C"/>
    <w:rsid w:val="00C61B7A"/>
    <w:rsid w:val="00C7198B"/>
    <w:rsid w:val="00C87FC1"/>
    <w:rsid w:val="00C92468"/>
    <w:rsid w:val="00C94CAA"/>
    <w:rsid w:val="00CA5A13"/>
    <w:rsid w:val="00CB29D6"/>
    <w:rsid w:val="00CC3CD7"/>
    <w:rsid w:val="00CC71CE"/>
    <w:rsid w:val="00CD3231"/>
    <w:rsid w:val="00CD4811"/>
    <w:rsid w:val="00CF0CB7"/>
    <w:rsid w:val="00D00596"/>
    <w:rsid w:val="00D14F32"/>
    <w:rsid w:val="00D153F0"/>
    <w:rsid w:val="00D17D68"/>
    <w:rsid w:val="00D2229F"/>
    <w:rsid w:val="00D2488B"/>
    <w:rsid w:val="00D258EB"/>
    <w:rsid w:val="00D33231"/>
    <w:rsid w:val="00D46875"/>
    <w:rsid w:val="00D52F65"/>
    <w:rsid w:val="00D629C8"/>
    <w:rsid w:val="00D66260"/>
    <w:rsid w:val="00D77F56"/>
    <w:rsid w:val="00D928C9"/>
    <w:rsid w:val="00DB2491"/>
    <w:rsid w:val="00DB63A1"/>
    <w:rsid w:val="00DD36EA"/>
    <w:rsid w:val="00DD5047"/>
    <w:rsid w:val="00DE051C"/>
    <w:rsid w:val="00DE29A7"/>
    <w:rsid w:val="00DE4369"/>
    <w:rsid w:val="00DE7DF1"/>
    <w:rsid w:val="00DF05BC"/>
    <w:rsid w:val="00E00C52"/>
    <w:rsid w:val="00E0390B"/>
    <w:rsid w:val="00E0398E"/>
    <w:rsid w:val="00E11DC4"/>
    <w:rsid w:val="00E17742"/>
    <w:rsid w:val="00E5239F"/>
    <w:rsid w:val="00E54385"/>
    <w:rsid w:val="00E81A81"/>
    <w:rsid w:val="00E83E13"/>
    <w:rsid w:val="00EA35F0"/>
    <w:rsid w:val="00EB315F"/>
    <w:rsid w:val="00EB39EB"/>
    <w:rsid w:val="00ED29DA"/>
    <w:rsid w:val="00ED67F9"/>
    <w:rsid w:val="00EE18FD"/>
    <w:rsid w:val="00EF74FF"/>
    <w:rsid w:val="00F22BDD"/>
    <w:rsid w:val="00F27800"/>
    <w:rsid w:val="00F306BB"/>
    <w:rsid w:val="00F33FFE"/>
    <w:rsid w:val="00F50470"/>
    <w:rsid w:val="00F54A57"/>
    <w:rsid w:val="00F54D06"/>
    <w:rsid w:val="00F65C1F"/>
    <w:rsid w:val="00F70CD7"/>
    <w:rsid w:val="00F71DA0"/>
    <w:rsid w:val="00F756C0"/>
    <w:rsid w:val="00F8224F"/>
    <w:rsid w:val="00F86457"/>
    <w:rsid w:val="00FA7B2D"/>
    <w:rsid w:val="00FD3B2E"/>
    <w:rsid w:val="00FD7C49"/>
    <w:rsid w:val="00FE3262"/>
    <w:rsid w:val="00FF1A4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28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9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Adam</dc:creator>
  <cp:keywords/>
  <dc:description/>
  <cp:lastModifiedBy>Rose, Adam</cp:lastModifiedBy>
  <cp:revision>4</cp:revision>
  <dcterms:created xsi:type="dcterms:W3CDTF">2017-12-19T18:52:00Z</dcterms:created>
  <dcterms:modified xsi:type="dcterms:W3CDTF">2018-09-28T14:31:00Z</dcterms:modified>
</cp:coreProperties>
</file>