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65" w:rsidRDefault="00D17CCB" w:rsidP="00E02FF3">
      <w:pPr>
        <w:pStyle w:val="CommentText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</w:pPr>
      <w:r w:rsidRPr="00D17CCB">
        <w:rPr>
          <w:rFonts w:ascii="Times New Roman" w:hAnsi="Times New Roman" w:cs="Times New Roman"/>
          <w:b/>
          <w:sz w:val="24"/>
          <w:szCs w:val="24"/>
        </w:rPr>
        <w:t>SUPPLEMENTARY</w:t>
      </w:r>
      <w:r w:rsidR="00E65965" w:rsidRPr="00D17CCB"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  <w:t xml:space="preserve"> T</w:t>
      </w:r>
      <w:r w:rsidR="00E65965" w:rsidRPr="00F0005C"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  <w:t>ABLE 2. Reversible postpartum contraceptive use* among nonpregnant, sexually active teen mothers aged &lt;20 years — 5 sites</w:t>
      </w:r>
      <w:proofErr w:type="gramStart"/>
      <w:r w:rsidR="00511292"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  <w:t>,</w:t>
      </w:r>
      <w:r w:rsidR="00E65965" w:rsidRPr="00F0005C"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  <w:vertAlign w:val="superscript"/>
        </w:rPr>
        <w:t>†</w:t>
      </w:r>
      <w:proofErr w:type="gramEnd"/>
      <w:r w:rsidR="00511292"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  <w:t xml:space="preserve"> </w:t>
      </w:r>
      <w:r w:rsidR="00E65965" w:rsidRPr="00F0005C"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  <w:t>Pregnancy Risk Assessment Monitoring System (PRAMS), 2004</w:t>
      </w:r>
      <w:r w:rsidR="00511292"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  <w:t>–</w:t>
      </w:r>
      <w:r w:rsidR="00E65965" w:rsidRPr="00F0005C">
        <w:rPr>
          <w:rFonts w:ascii="Times New Roman" w:eastAsia="Times New Roman" w:hAnsi="Times New Roman" w:cs="Times New Roman"/>
          <w:b/>
          <w:bCs/>
          <w:color w:val="000000"/>
          <w:sz w:val="24"/>
          <w:szCs w:val="14"/>
        </w:rPr>
        <w:t>2013</w:t>
      </w:r>
    </w:p>
    <w:p w:rsidR="00E65965" w:rsidRPr="00E65965" w:rsidRDefault="00E65965" w:rsidP="00E02FF3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25" w:type="pct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4"/>
        <w:gridCol w:w="706"/>
        <w:gridCol w:w="1560"/>
        <w:gridCol w:w="707"/>
        <w:gridCol w:w="1679"/>
        <w:gridCol w:w="724"/>
        <w:gridCol w:w="1560"/>
        <w:gridCol w:w="707"/>
        <w:gridCol w:w="1557"/>
        <w:gridCol w:w="710"/>
        <w:gridCol w:w="1557"/>
        <w:gridCol w:w="707"/>
        <w:gridCol w:w="866"/>
      </w:tblGrid>
      <w:tr w:rsidR="00E02FF3" w:rsidRPr="00F0005C" w:rsidTr="00511292">
        <w:trPr>
          <w:trHeight w:val="284"/>
          <w:tblHeader/>
        </w:trPr>
        <w:tc>
          <w:tcPr>
            <w:tcW w:w="401" w:type="pct"/>
            <w:vMerge w:val="restart"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 </w:t>
            </w:r>
          </w:p>
          <w:p w:rsidR="00E02FF3" w:rsidRPr="00F0005C" w:rsidRDefault="00E02FF3" w:rsidP="004C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 </w:t>
            </w:r>
          </w:p>
          <w:p w:rsidR="00E02FF3" w:rsidRPr="00F0005C" w:rsidRDefault="00E02FF3" w:rsidP="004C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 </w:t>
            </w:r>
          </w:p>
        </w:tc>
        <w:tc>
          <w:tcPr>
            <w:tcW w:w="3249" w:type="pct"/>
            <w:gridSpan w:val="8"/>
            <w:shd w:val="clear" w:color="000000" w:fill="FFFFFF"/>
            <w:vAlign w:val="center"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Postpartum Contraceptive Method</w:t>
            </w:r>
          </w:p>
        </w:tc>
        <w:tc>
          <w:tcPr>
            <w:tcW w:w="800" w:type="pct"/>
            <w:gridSpan w:val="2"/>
            <w:vMerge w:val="restart"/>
            <w:shd w:val="clear" w:color="000000" w:fill="FFFFFF"/>
            <w:vAlign w:val="center"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No Contraceptive Method</w:t>
            </w:r>
          </w:p>
        </w:tc>
        <w:tc>
          <w:tcPr>
            <w:tcW w:w="550" w:type="pct"/>
            <w:gridSpan w:val="2"/>
            <w:vMerge w:val="restart"/>
            <w:shd w:val="clear" w:color="000000" w:fill="FFFFFF"/>
            <w:vAlign w:val="center"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Total</w:t>
            </w:r>
          </w:p>
        </w:tc>
      </w:tr>
      <w:tr w:rsidR="00E02FF3" w:rsidRPr="00F0005C" w:rsidTr="00511292">
        <w:trPr>
          <w:trHeight w:val="284"/>
          <w:tblHeader/>
        </w:trPr>
        <w:tc>
          <w:tcPr>
            <w:tcW w:w="401" w:type="pct"/>
            <w:vMerge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800" w:type="pct"/>
            <w:gridSpan w:val="2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Most effective</w:t>
            </w: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</w:rPr>
              <w:t>*</w:t>
            </w:r>
          </w:p>
        </w:tc>
        <w:tc>
          <w:tcPr>
            <w:tcW w:w="843" w:type="pct"/>
            <w:gridSpan w:val="2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Moderately effective</w:t>
            </w: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</w:rPr>
              <w:t>*</w:t>
            </w:r>
          </w:p>
        </w:tc>
        <w:tc>
          <w:tcPr>
            <w:tcW w:w="807" w:type="pct"/>
            <w:gridSpan w:val="2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Least effective*</w:t>
            </w:r>
          </w:p>
        </w:tc>
        <w:tc>
          <w:tcPr>
            <w:tcW w:w="799" w:type="pct"/>
            <w:gridSpan w:val="2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Any contraceptive method</w:t>
            </w:r>
          </w:p>
        </w:tc>
        <w:tc>
          <w:tcPr>
            <w:tcW w:w="800" w:type="pct"/>
            <w:gridSpan w:val="2"/>
            <w:vMerge/>
            <w:shd w:val="clear" w:color="000000" w:fill="FFFFFF"/>
            <w:vAlign w:val="center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550" w:type="pct"/>
            <w:gridSpan w:val="2"/>
            <w:vMerge/>
            <w:vAlign w:val="center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</w:p>
        </w:tc>
      </w:tr>
      <w:tr w:rsidR="00511292" w:rsidRPr="00F0005C" w:rsidTr="00511292">
        <w:trPr>
          <w:trHeight w:val="303"/>
          <w:tblHeader/>
        </w:trPr>
        <w:tc>
          <w:tcPr>
            <w:tcW w:w="401" w:type="pct"/>
            <w:vMerge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</w:p>
        </w:tc>
        <w:tc>
          <w:tcPr>
            <w:tcW w:w="250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n</w:t>
            </w:r>
          </w:p>
        </w:tc>
        <w:tc>
          <w:tcPr>
            <w:tcW w:w="551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% (95% CI)</w:t>
            </w: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  <w:vertAlign w:val="superscript"/>
              </w:rPr>
              <w:t xml:space="preserve"> ¶</w:t>
            </w:r>
          </w:p>
        </w:tc>
        <w:tc>
          <w:tcPr>
            <w:tcW w:w="250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n</w:t>
            </w:r>
          </w:p>
        </w:tc>
        <w:tc>
          <w:tcPr>
            <w:tcW w:w="593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% (95% CI)</w:t>
            </w: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  <w:vertAlign w:val="superscript"/>
              </w:rPr>
              <w:t xml:space="preserve"> ¶</w:t>
            </w:r>
          </w:p>
        </w:tc>
        <w:tc>
          <w:tcPr>
            <w:tcW w:w="256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n</w:t>
            </w:r>
          </w:p>
        </w:tc>
        <w:tc>
          <w:tcPr>
            <w:tcW w:w="551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% (95% CI)</w:t>
            </w: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  <w:vertAlign w:val="superscript"/>
              </w:rPr>
              <w:t xml:space="preserve"> ¶</w:t>
            </w:r>
          </w:p>
        </w:tc>
        <w:tc>
          <w:tcPr>
            <w:tcW w:w="250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n</w:t>
            </w:r>
          </w:p>
        </w:tc>
        <w:tc>
          <w:tcPr>
            <w:tcW w:w="550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% (95% CI)</w:t>
            </w: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  <w:vertAlign w:val="superscript"/>
              </w:rPr>
              <w:t xml:space="preserve"> ¶</w:t>
            </w:r>
          </w:p>
        </w:tc>
        <w:tc>
          <w:tcPr>
            <w:tcW w:w="251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n</w:t>
            </w:r>
          </w:p>
        </w:tc>
        <w:tc>
          <w:tcPr>
            <w:tcW w:w="550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% (95% CI)</w:t>
            </w:r>
            <w:r w:rsidRPr="00F000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4"/>
                <w:vertAlign w:val="superscript"/>
              </w:rPr>
              <w:t xml:space="preserve"> ¶</w:t>
            </w:r>
          </w:p>
        </w:tc>
        <w:tc>
          <w:tcPr>
            <w:tcW w:w="250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n</w:t>
            </w:r>
          </w:p>
        </w:tc>
        <w:tc>
          <w:tcPr>
            <w:tcW w:w="300" w:type="pct"/>
            <w:shd w:val="clear" w:color="000000" w:fill="FFFFFF"/>
            <w:vAlign w:val="bottom"/>
            <w:hideMark/>
          </w:tcPr>
          <w:p w:rsidR="00E02FF3" w:rsidRPr="00F0005C" w:rsidRDefault="00E02FF3" w:rsidP="00D95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4"/>
              </w:rPr>
              <w:t>N</w:t>
            </w:r>
          </w:p>
        </w:tc>
      </w:tr>
      <w:tr w:rsidR="00511292" w:rsidRPr="00F0005C" w:rsidTr="00511292">
        <w:trPr>
          <w:trHeight w:val="550"/>
        </w:trPr>
        <w:tc>
          <w:tcPr>
            <w:tcW w:w="401" w:type="pct"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Total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1,222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18.0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(16.5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19.6)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3,557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52.4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(50.4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54.4)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1,019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16.0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(14.5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17.5)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5,798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86.4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(85.0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87.7)</w:t>
            </w: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1,054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13.6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(12.3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15.0)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6,852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185,155</w:t>
            </w:r>
          </w:p>
        </w:tc>
      </w:tr>
      <w:tr w:rsidR="00511292" w:rsidRPr="00F0005C" w:rsidTr="00511292">
        <w:trPr>
          <w:trHeight w:val="550"/>
        </w:trPr>
        <w:tc>
          <w:tcPr>
            <w:tcW w:w="401" w:type="pct"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2004</w:t>
            </w:r>
            <w:r w:rsidR="00511292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2005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103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5.3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(3.9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7.0)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1,109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65.1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(60.8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69.0)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262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16.3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(13.3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19.9)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1,474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86.7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(83.3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89.4)</w:t>
            </w: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252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13.3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(10.6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16.7)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1,726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41,991</w:t>
            </w:r>
          </w:p>
        </w:tc>
      </w:tr>
      <w:tr w:rsidR="00511292" w:rsidRPr="00F0005C" w:rsidTr="00511292">
        <w:trPr>
          <w:trHeight w:val="550"/>
        </w:trPr>
        <w:tc>
          <w:tcPr>
            <w:tcW w:w="401" w:type="pct"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2006</w:t>
            </w:r>
            <w:r w:rsidR="00511292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2007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231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14.8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(12.2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18.0)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845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53.3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(49.2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57.3)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240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14.6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(12.0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17.6)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1,316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82.7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(79.4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85.6)</w:t>
            </w: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265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17.3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(14.4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20.6)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1,581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40,443</w:t>
            </w:r>
          </w:p>
        </w:tc>
      </w:tr>
      <w:tr w:rsidR="00511292" w:rsidRPr="00F0005C" w:rsidTr="00511292">
        <w:trPr>
          <w:trHeight w:val="550"/>
        </w:trPr>
        <w:tc>
          <w:tcPr>
            <w:tcW w:w="401" w:type="pct"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2008</w:t>
            </w:r>
            <w:r w:rsidR="00511292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2009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346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22.6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(19.3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26.3)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679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50.0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(46.0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54.1)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204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14.1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(11.5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17.1)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1,229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86.7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(84.0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89.0)</w:t>
            </w: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227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13.3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(11.0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16.0)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1,456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41,187</w:t>
            </w:r>
          </w:p>
        </w:tc>
      </w:tr>
      <w:tr w:rsidR="00511292" w:rsidRPr="00F0005C" w:rsidTr="00511292">
        <w:trPr>
          <w:trHeight w:val="550"/>
        </w:trPr>
        <w:tc>
          <w:tcPr>
            <w:tcW w:w="401" w:type="pct"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2010</w:t>
            </w:r>
            <w:r w:rsidR="00511292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2011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321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26.0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(22.3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30.2)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559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48.4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(43.8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52.9)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177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16.4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(13.3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20.2)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1,057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90.8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(88.2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92.9)</w:t>
            </w: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153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9.2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(7.1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11.8)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1,210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34,910</w:t>
            </w:r>
          </w:p>
        </w:tc>
      </w:tr>
      <w:tr w:rsidR="00511292" w:rsidRPr="00F0005C" w:rsidTr="00511292">
        <w:trPr>
          <w:trHeight w:val="550"/>
        </w:trPr>
        <w:tc>
          <w:tcPr>
            <w:tcW w:w="401" w:type="pct"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2012</w:t>
            </w:r>
            <w:r w:rsidR="00511292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2013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221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25.3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(20.6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30.7)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365</w:t>
            </w:r>
          </w:p>
        </w:tc>
        <w:tc>
          <w:tcPr>
            <w:tcW w:w="593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40.2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(34.4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46.3)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136</w:t>
            </w:r>
          </w:p>
        </w:tc>
        <w:tc>
          <w:tcPr>
            <w:tcW w:w="5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19.8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(15.1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25.4)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722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85.3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(81.1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88.6)</w:t>
            </w: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157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14.7 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(11.4</w:t>
            </w:r>
            <w:r w:rsidR="00511292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–</w:t>
            </w:r>
            <w:r w:rsidRPr="00F0005C">
              <w:rPr>
                <w:rFonts w:ascii="Times New Roman" w:hAnsi="Times New Roman" w:cs="Times New Roman"/>
                <w:color w:val="000000"/>
                <w:sz w:val="20"/>
                <w:szCs w:val="14"/>
              </w:rPr>
              <w:t>18.9)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879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26,624</w:t>
            </w:r>
          </w:p>
        </w:tc>
      </w:tr>
      <w:tr w:rsidR="00511292" w:rsidRPr="00F0005C" w:rsidTr="00511292">
        <w:trPr>
          <w:trHeight w:val="629"/>
        </w:trPr>
        <w:tc>
          <w:tcPr>
            <w:tcW w:w="401" w:type="pct"/>
            <w:shd w:val="clear" w:color="000000" w:fill="FFFFFF"/>
            <w:vAlign w:val="center"/>
            <w:hideMark/>
          </w:tcPr>
          <w:p w:rsidR="00E02FF3" w:rsidRPr="00F0005C" w:rsidRDefault="00E02FF3" w:rsidP="004C2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Change over time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E02FF3" w:rsidRPr="00F0005C" w:rsidRDefault="00E02FF3" w:rsidP="007E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vertAlign w:val="superscript"/>
              </w:rPr>
              <w:t>§, §§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7E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:rsidR="00E02FF3" w:rsidRPr="00F0005C" w:rsidRDefault="00E02FF3" w:rsidP="007E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vertAlign w:val="superscript"/>
              </w:rPr>
              <w:t>§</w:t>
            </w:r>
          </w:p>
        </w:tc>
        <w:tc>
          <w:tcPr>
            <w:tcW w:w="256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 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 </w:t>
            </w:r>
          </w:p>
        </w:tc>
        <w:tc>
          <w:tcPr>
            <w:tcW w:w="5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</w:p>
        </w:tc>
        <w:tc>
          <w:tcPr>
            <w:tcW w:w="251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 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 xml:space="preserve"> </w:t>
            </w:r>
          </w:p>
        </w:tc>
        <w:tc>
          <w:tcPr>
            <w:tcW w:w="25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 </w:t>
            </w:r>
          </w:p>
        </w:tc>
        <w:tc>
          <w:tcPr>
            <w:tcW w:w="300" w:type="pct"/>
            <w:shd w:val="clear" w:color="000000" w:fill="FFFFFF"/>
            <w:vAlign w:val="center"/>
            <w:hideMark/>
          </w:tcPr>
          <w:p w:rsidR="00E02FF3" w:rsidRPr="00F0005C" w:rsidRDefault="00E02FF3" w:rsidP="005C53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0005C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t> </w:t>
            </w:r>
          </w:p>
        </w:tc>
      </w:tr>
    </w:tbl>
    <w:p w:rsidR="00E65965" w:rsidRPr="00E65965" w:rsidRDefault="00E65965" w:rsidP="00E02FF3">
      <w:pPr>
        <w:pStyle w:val="CommentText"/>
        <w:spacing w:after="0"/>
        <w:rPr>
          <w:rFonts w:ascii="Times New Roman" w:hAnsi="Times New Roman" w:cs="Times New Roman"/>
          <w:szCs w:val="24"/>
        </w:rPr>
      </w:pPr>
    </w:p>
    <w:p w:rsidR="00E02FF3" w:rsidRPr="005D3DA0" w:rsidRDefault="00E02FF3" w:rsidP="00E02FF3">
      <w:pPr>
        <w:pStyle w:val="CommentText"/>
        <w:spacing w:after="0"/>
        <w:rPr>
          <w:rFonts w:ascii="Times New Roman" w:hAnsi="Times New Roman" w:cs="Times New Roman"/>
          <w:sz w:val="24"/>
          <w:szCs w:val="24"/>
        </w:rPr>
      </w:pPr>
      <w:r w:rsidRPr="005D3DA0">
        <w:rPr>
          <w:rFonts w:ascii="Times New Roman" w:hAnsi="Times New Roman" w:cs="Times New Roman"/>
          <w:sz w:val="24"/>
          <w:szCs w:val="24"/>
        </w:rPr>
        <w:t>* Methods categorized by effectiveness, as determined by the percentage of females who experience pregnancy during the first year of typical use</w:t>
      </w:r>
      <w:r w:rsidR="00A25A02">
        <w:rPr>
          <w:rFonts w:ascii="Times New Roman" w:hAnsi="Times New Roman" w:cs="Times New Roman"/>
          <w:sz w:val="24"/>
          <w:szCs w:val="24"/>
        </w:rPr>
        <w:t xml:space="preserve"> (</w:t>
      </w:r>
      <w:r w:rsidR="00A25A02">
        <w:rPr>
          <w:rFonts w:ascii="Times New Roman" w:hAnsi="Times New Roman" w:cs="Times New Roman"/>
          <w:i/>
          <w:sz w:val="24"/>
          <w:szCs w:val="24"/>
        </w:rPr>
        <w:t>7</w:t>
      </w:r>
      <w:r w:rsidR="00A25A02">
        <w:rPr>
          <w:rFonts w:ascii="Times New Roman" w:hAnsi="Times New Roman" w:cs="Times New Roman"/>
          <w:sz w:val="24"/>
          <w:szCs w:val="24"/>
        </w:rPr>
        <w:t>):</w:t>
      </w:r>
      <w:r w:rsidRPr="005D3DA0">
        <w:rPr>
          <w:rFonts w:ascii="Times New Roman" w:hAnsi="Times New Roman" w:cs="Times New Roman"/>
          <w:sz w:val="24"/>
          <w:szCs w:val="24"/>
        </w:rPr>
        <w:t xml:space="preserve"> most effective (contraceptive implants and intrauterine devices (IUDs) (&lt;1%); moderately effective (oral contraceptive pills, </w:t>
      </w:r>
      <w:proofErr w:type="spellStart"/>
      <w:r w:rsidRPr="005D3DA0">
        <w:rPr>
          <w:rFonts w:ascii="Times New Roman" w:hAnsi="Times New Roman" w:cs="Times New Roman"/>
          <w:sz w:val="24"/>
          <w:szCs w:val="24"/>
        </w:rPr>
        <w:t>injectables</w:t>
      </w:r>
      <w:proofErr w:type="spellEnd"/>
      <w:r w:rsidRPr="005D3DA0">
        <w:rPr>
          <w:rFonts w:ascii="Times New Roman" w:hAnsi="Times New Roman" w:cs="Times New Roman"/>
          <w:sz w:val="24"/>
          <w:szCs w:val="24"/>
        </w:rPr>
        <w:t xml:space="preserve"> (e.g., Depo-Provera), birth control patch, and vaginal ring) (6</w:t>
      </w:r>
      <w:r w:rsidR="00511292">
        <w:rPr>
          <w:rFonts w:ascii="Times New Roman" w:hAnsi="Times New Roman" w:cs="Times New Roman"/>
          <w:sz w:val="24"/>
          <w:szCs w:val="24"/>
        </w:rPr>
        <w:t>%–</w:t>
      </w:r>
      <w:r w:rsidRPr="005D3DA0">
        <w:rPr>
          <w:rFonts w:ascii="Times New Roman" w:hAnsi="Times New Roman" w:cs="Times New Roman"/>
          <w:sz w:val="24"/>
          <w:szCs w:val="24"/>
        </w:rPr>
        <w:t>10%); and least effective (condoms, diaphragm, cervical cap, contraceptive sponge, rhythm method/natural family planning, the “morning after pill,” withdrawal, and “other” responses that could not be categorized to a more effective category) (&gt;10%); also includes measure of teen mothers who report no postpartum contraceptive use.</w:t>
      </w:r>
    </w:p>
    <w:p w:rsidR="00E02FF3" w:rsidRDefault="00E02FF3" w:rsidP="005D3DA0">
      <w:pPr>
        <w:pStyle w:val="CommentText"/>
        <w:spacing w:after="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3D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†</w:t>
      </w:r>
      <w:r w:rsidRPr="005D3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Arkansas, Michigan, Nebraska, Oregon, and Rhode Island.</w:t>
      </w:r>
    </w:p>
    <w:p w:rsidR="00E02FF3" w:rsidRDefault="00E02FF3" w:rsidP="005D3DA0">
      <w:pPr>
        <w:pStyle w:val="CommentText"/>
        <w:spacing w:after="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3DA0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 xml:space="preserve">¶ </w:t>
      </w:r>
      <w:r w:rsidRPr="005D3D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Weighted percent.</w:t>
      </w:r>
    </w:p>
    <w:p w:rsidR="00E02FF3" w:rsidRDefault="00E02FF3" w:rsidP="005D3DA0">
      <w:pPr>
        <w:pStyle w:val="CommentText"/>
        <w:spacing w:after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3D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§ </w:t>
      </w:r>
      <w:r w:rsidRPr="005D3DA0">
        <w:rPr>
          <w:rFonts w:ascii="Times New Roman" w:eastAsia="Times New Roman" w:hAnsi="Times New Roman" w:cs="Times New Roman"/>
          <w:color w:val="000000"/>
          <w:sz w:val="24"/>
          <w:szCs w:val="24"/>
        </w:rPr>
        <w:t>Significant linear effect (</w:t>
      </w:r>
      <w:r w:rsidRPr="005D3D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Pr="005D3DA0">
        <w:rPr>
          <w:rFonts w:ascii="Times New Roman" w:eastAsia="Times New Roman" w:hAnsi="Times New Roman" w:cs="Times New Roman"/>
          <w:color w:val="000000"/>
          <w:sz w:val="24"/>
          <w:szCs w:val="24"/>
        </w:rPr>
        <w:t>-value &lt;0.05).</w:t>
      </w:r>
    </w:p>
    <w:p w:rsidR="00E117E3" w:rsidRPr="00E65965" w:rsidRDefault="00E02FF3" w:rsidP="00E65965">
      <w:pPr>
        <w:pStyle w:val="CommentText"/>
        <w:spacing w:after="40"/>
        <w:rPr>
          <w:rFonts w:ascii="Times New Roman" w:hAnsi="Times New Roman" w:cs="Times New Roman"/>
          <w:sz w:val="24"/>
          <w:szCs w:val="24"/>
        </w:rPr>
      </w:pPr>
      <w:r w:rsidRPr="005D3DA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§§</w:t>
      </w:r>
      <w:r w:rsidRPr="005D3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Significant quadratic effect (</w:t>
      </w:r>
      <w:r w:rsidRPr="005D3D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</w:t>
      </w:r>
      <w:r w:rsidRPr="005D3DA0">
        <w:rPr>
          <w:rFonts w:ascii="Times New Roman" w:eastAsia="Times New Roman" w:hAnsi="Times New Roman" w:cs="Times New Roman"/>
          <w:color w:val="000000"/>
          <w:sz w:val="24"/>
          <w:szCs w:val="24"/>
        </w:rPr>
        <w:t>-value &lt;0.05).</w:t>
      </w:r>
      <w:bookmarkStart w:id="0" w:name="_GoBack"/>
      <w:bookmarkEnd w:id="0"/>
    </w:p>
    <w:sectPr w:rsidR="00E117E3" w:rsidRPr="00E65965" w:rsidSect="00336124">
      <w:headerReference w:type="default" r:id="rId8"/>
      <w:footerReference w:type="default" r:id="rId9"/>
      <w:pgSz w:w="15840" w:h="12240" w:orient="landscape" w:code="2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CC" w:rsidRDefault="009449CC">
      <w:pPr>
        <w:spacing w:after="0" w:line="240" w:lineRule="auto"/>
      </w:pPr>
      <w:r>
        <w:separator/>
      </w:r>
    </w:p>
  </w:endnote>
  <w:endnote w:type="continuationSeparator" w:id="0">
    <w:p w:rsidR="009449CC" w:rsidRDefault="0094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aramond Pro Bold">
    <w:altName w:val="Adobe Garamond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656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5C1B7E" w:rsidRPr="00FF04B1" w:rsidRDefault="005C1B7E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FF04B1">
          <w:rPr>
            <w:rFonts w:ascii="Times New Roman" w:hAnsi="Times New Roman" w:cs="Times New Roman"/>
            <w:sz w:val="24"/>
          </w:rPr>
          <w:fldChar w:fldCharType="begin"/>
        </w:r>
        <w:r w:rsidRPr="00FF04B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04B1">
          <w:rPr>
            <w:rFonts w:ascii="Times New Roman" w:hAnsi="Times New Roman" w:cs="Times New Roman"/>
            <w:sz w:val="24"/>
          </w:rPr>
          <w:fldChar w:fldCharType="separate"/>
        </w:r>
        <w:r w:rsidR="00D17CCB">
          <w:rPr>
            <w:rFonts w:ascii="Times New Roman" w:hAnsi="Times New Roman" w:cs="Times New Roman"/>
            <w:noProof/>
            <w:sz w:val="24"/>
          </w:rPr>
          <w:t>1</w:t>
        </w:r>
        <w:r w:rsidRPr="00FF04B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C1B7E" w:rsidRDefault="005C1B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CC" w:rsidRDefault="009449CC">
      <w:pPr>
        <w:spacing w:after="0" w:line="240" w:lineRule="auto"/>
      </w:pPr>
      <w:r>
        <w:separator/>
      </w:r>
    </w:p>
  </w:footnote>
  <w:footnote w:type="continuationSeparator" w:id="0">
    <w:p w:rsidR="009449CC" w:rsidRDefault="0094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B7E" w:rsidRDefault="005C1B7E" w:rsidP="00B712E6">
    <w:pPr>
      <w:pStyle w:val="Header"/>
      <w:tabs>
        <w:tab w:val="clear" w:pos="4680"/>
        <w:tab w:val="clear" w:pos="9360"/>
        <w:tab w:val="left" w:pos="13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AFC"/>
    <w:multiLevelType w:val="hybridMultilevel"/>
    <w:tmpl w:val="55DEC0B8"/>
    <w:lvl w:ilvl="0" w:tplc="0ED67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B3E"/>
    <w:multiLevelType w:val="hybridMultilevel"/>
    <w:tmpl w:val="3B8A9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7703"/>
    <w:multiLevelType w:val="hybridMultilevel"/>
    <w:tmpl w:val="E7506994"/>
    <w:lvl w:ilvl="0" w:tplc="AA88C3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3E51"/>
    <w:multiLevelType w:val="hybridMultilevel"/>
    <w:tmpl w:val="DE6C62F4"/>
    <w:lvl w:ilvl="0" w:tplc="AA88C38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62DE5"/>
    <w:multiLevelType w:val="hybridMultilevel"/>
    <w:tmpl w:val="85720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52DC2"/>
    <w:multiLevelType w:val="hybridMultilevel"/>
    <w:tmpl w:val="5EE25B2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BB03567"/>
    <w:multiLevelType w:val="hybridMultilevel"/>
    <w:tmpl w:val="D53CE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28E2"/>
    <w:multiLevelType w:val="hybridMultilevel"/>
    <w:tmpl w:val="452AE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31B8F"/>
    <w:multiLevelType w:val="multilevel"/>
    <w:tmpl w:val="D57A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27416A"/>
    <w:multiLevelType w:val="hybridMultilevel"/>
    <w:tmpl w:val="777A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8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117E3"/>
    <w:rsid w:val="00003669"/>
    <w:rsid w:val="00007563"/>
    <w:rsid w:val="00013353"/>
    <w:rsid w:val="000151B2"/>
    <w:rsid w:val="00031FDD"/>
    <w:rsid w:val="00077377"/>
    <w:rsid w:val="000948BC"/>
    <w:rsid w:val="000A1993"/>
    <w:rsid w:val="000B1895"/>
    <w:rsid w:val="000C608D"/>
    <w:rsid w:val="000D1139"/>
    <w:rsid w:val="000D6AFE"/>
    <w:rsid w:val="000E0780"/>
    <w:rsid w:val="000E4EBF"/>
    <w:rsid w:val="000F2243"/>
    <w:rsid w:val="000F64ED"/>
    <w:rsid w:val="00100D06"/>
    <w:rsid w:val="00135CA2"/>
    <w:rsid w:val="001514A1"/>
    <w:rsid w:val="001720B9"/>
    <w:rsid w:val="001C2C78"/>
    <w:rsid w:val="001D7928"/>
    <w:rsid w:val="001E0AC2"/>
    <w:rsid w:val="00214A6E"/>
    <w:rsid w:val="00216417"/>
    <w:rsid w:val="00232C17"/>
    <w:rsid w:val="00233A77"/>
    <w:rsid w:val="00250736"/>
    <w:rsid w:val="002614C0"/>
    <w:rsid w:val="00267DA5"/>
    <w:rsid w:val="00272AA9"/>
    <w:rsid w:val="0028264F"/>
    <w:rsid w:val="00290549"/>
    <w:rsid w:val="002B5777"/>
    <w:rsid w:val="002B7E71"/>
    <w:rsid w:val="002E0FCF"/>
    <w:rsid w:val="002E792F"/>
    <w:rsid w:val="00300A08"/>
    <w:rsid w:val="00316009"/>
    <w:rsid w:val="00317C5A"/>
    <w:rsid w:val="0032690B"/>
    <w:rsid w:val="00336124"/>
    <w:rsid w:val="00382444"/>
    <w:rsid w:val="00394BBE"/>
    <w:rsid w:val="003A0C1F"/>
    <w:rsid w:val="003C6EE1"/>
    <w:rsid w:val="003D1C12"/>
    <w:rsid w:val="003D3EB4"/>
    <w:rsid w:val="00434190"/>
    <w:rsid w:val="004350F7"/>
    <w:rsid w:val="00455740"/>
    <w:rsid w:val="0046091D"/>
    <w:rsid w:val="004C1230"/>
    <w:rsid w:val="004C2740"/>
    <w:rsid w:val="004F2B04"/>
    <w:rsid w:val="00504024"/>
    <w:rsid w:val="00511292"/>
    <w:rsid w:val="0051532C"/>
    <w:rsid w:val="00541C6E"/>
    <w:rsid w:val="00585AE2"/>
    <w:rsid w:val="005C039B"/>
    <w:rsid w:val="005C1B7E"/>
    <w:rsid w:val="005C5369"/>
    <w:rsid w:val="005D3DA0"/>
    <w:rsid w:val="006032A9"/>
    <w:rsid w:val="006457B6"/>
    <w:rsid w:val="0065720D"/>
    <w:rsid w:val="00676732"/>
    <w:rsid w:val="006945D1"/>
    <w:rsid w:val="006D0E68"/>
    <w:rsid w:val="006E2C9A"/>
    <w:rsid w:val="00724A1A"/>
    <w:rsid w:val="007265F4"/>
    <w:rsid w:val="007269A8"/>
    <w:rsid w:val="00734972"/>
    <w:rsid w:val="00742F6F"/>
    <w:rsid w:val="0076618C"/>
    <w:rsid w:val="00775987"/>
    <w:rsid w:val="0078607E"/>
    <w:rsid w:val="007C36C4"/>
    <w:rsid w:val="007E5BC7"/>
    <w:rsid w:val="007F53A5"/>
    <w:rsid w:val="008050AD"/>
    <w:rsid w:val="00813ABD"/>
    <w:rsid w:val="00815C5F"/>
    <w:rsid w:val="00875823"/>
    <w:rsid w:val="008A4FFA"/>
    <w:rsid w:val="008E56EE"/>
    <w:rsid w:val="008E7593"/>
    <w:rsid w:val="008F583F"/>
    <w:rsid w:val="009449CC"/>
    <w:rsid w:val="0095150F"/>
    <w:rsid w:val="009709AA"/>
    <w:rsid w:val="00991C9E"/>
    <w:rsid w:val="009924B6"/>
    <w:rsid w:val="00993C25"/>
    <w:rsid w:val="009A09A5"/>
    <w:rsid w:val="00A05715"/>
    <w:rsid w:val="00A108B9"/>
    <w:rsid w:val="00A25A02"/>
    <w:rsid w:val="00A3529B"/>
    <w:rsid w:val="00A363C9"/>
    <w:rsid w:val="00A46334"/>
    <w:rsid w:val="00A826D3"/>
    <w:rsid w:val="00A9488E"/>
    <w:rsid w:val="00AA5883"/>
    <w:rsid w:val="00AD70FE"/>
    <w:rsid w:val="00AF6306"/>
    <w:rsid w:val="00B11803"/>
    <w:rsid w:val="00B25F1A"/>
    <w:rsid w:val="00B44AA5"/>
    <w:rsid w:val="00B531E5"/>
    <w:rsid w:val="00B649EC"/>
    <w:rsid w:val="00B712E6"/>
    <w:rsid w:val="00B751AF"/>
    <w:rsid w:val="00B80E47"/>
    <w:rsid w:val="00B9590D"/>
    <w:rsid w:val="00BC4580"/>
    <w:rsid w:val="00BC79FF"/>
    <w:rsid w:val="00BD5D41"/>
    <w:rsid w:val="00BF6756"/>
    <w:rsid w:val="00C36A25"/>
    <w:rsid w:val="00C46FAC"/>
    <w:rsid w:val="00C64E94"/>
    <w:rsid w:val="00C65BBC"/>
    <w:rsid w:val="00C776EE"/>
    <w:rsid w:val="00C81D2A"/>
    <w:rsid w:val="00C9129C"/>
    <w:rsid w:val="00CA27E2"/>
    <w:rsid w:val="00CA5C96"/>
    <w:rsid w:val="00CC7B65"/>
    <w:rsid w:val="00D0251B"/>
    <w:rsid w:val="00D034E9"/>
    <w:rsid w:val="00D17CCB"/>
    <w:rsid w:val="00D25EE8"/>
    <w:rsid w:val="00D72EE2"/>
    <w:rsid w:val="00D95595"/>
    <w:rsid w:val="00DA1FCE"/>
    <w:rsid w:val="00DA4523"/>
    <w:rsid w:val="00DB6144"/>
    <w:rsid w:val="00DC1B9C"/>
    <w:rsid w:val="00DE4919"/>
    <w:rsid w:val="00E02FF3"/>
    <w:rsid w:val="00E117E3"/>
    <w:rsid w:val="00E1415B"/>
    <w:rsid w:val="00E65965"/>
    <w:rsid w:val="00E66EC5"/>
    <w:rsid w:val="00E95D75"/>
    <w:rsid w:val="00EA57AB"/>
    <w:rsid w:val="00ED0D5D"/>
    <w:rsid w:val="00F0005C"/>
    <w:rsid w:val="00F929A2"/>
    <w:rsid w:val="00F97102"/>
    <w:rsid w:val="00FB581E"/>
    <w:rsid w:val="00FD4BB4"/>
    <w:rsid w:val="00FE4B84"/>
    <w:rsid w:val="00FF04B1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3B9C04-128D-40DF-A21F-AF8442EC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Normal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5">
    <w:name w:val="xl6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Normal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Normal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Normal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Normal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Normal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Normal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Normal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Normal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Normal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Normal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Normal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Normal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8">
    <w:name w:val="xl108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Normal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Normal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8">
    <w:name w:val="xl11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Normal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Normal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desc2">
    <w:name w:val="desc2"/>
    <w:basedOn w:val="Normal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</w:style>
  <w:style w:type="character" w:styleId="LineNumber">
    <w:name w:val="line number"/>
    <w:basedOn w:val="DefaultParagraphFon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Calibri" w:hAnsi="Calibri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character" w:customStyle="1" w:styleId="A4">
    <w:name w:val="A4"/>
    <w:uiPriority w:val="99"/>
    <w:rPr>
      <w:rFonts w:cs="Adobe Garamond Pro Bold"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pPr>
      <w:autoSpaceDE w:val="0"/>
      <w:autoSpaceDN w:val="0"/>
      <w:adjustRightInd w:val="0"/>
      <w:spacing w:after="0" w:line="361" w:lineRule="atLeast"/>
    </w:pPr>
    <w:rPr>
      <w:rFonts w:ascii="Myriad Pro Light" w:hAnsi="Myriad Pro Light"/>
      <w:sz w:val="24"/>
      <w:szCs w:val="24"/>
    </w:rPr>
  </w:style>
  <w:style w:type="paragraph" w:customStyle="1" w:styleId="Pa2">
    <w:name w:val="Pa2"/>
    <w:basedOn w:val="Normal"/>
    <w:next w:val="Normal"/>
    <w:uiPriority w:val="99"/>
    <w:pPr>
      <w:autoSpaceDE w:val="0"/>
      <w:autoSpaceDN w:val="0"/>
      <w:adjustRightInd w:val="0"/>
      <w:spacing w:after="0" w:line="181" w:lineRule="atLeast"/>
    </w:pPr>
    <w:rPr>
      <w:rFonts w:ascii="Myriad Pro Light" w:hAnsi="Myriad Pro Light"/>
      <w:sz w:val="24"/>
      <w:szCs w:val="24"/>
    </w:rPr>
  </w:style>
  <w:style w:type="character" w:customStyle="1" w:styleId="A7">
    <w:name w:val="A7"/>
    <w:uiPriority w:val="99"/>
    <w:rPr>
      <w:rFonts w:ascii="Adobe Garamond Pro" w:hAnsi="Adobe Garamond Pro" w:cs="Adobe Garamond Pro"/>
      <w:color w:val="000000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0C608D"/>
    <w:pPr>
      <w:spacing w:after="150" w:line="375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53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719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58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961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577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51562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18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419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7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25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009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5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3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042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268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14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24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9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63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4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928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43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92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2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915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93738-0373-429A-B006-BEFDD124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Dee, Deborah L. (CDC/ONDIEH/NCCDPHP)</dc:creator>
  <cp:keywords/>
  <dc:description/>
  <cp:lastModifiedBy>Hood, Teresa M. (CDC/OPHSS/CSELS)</cp:lastModifiedBy>
  <cp:revision>3</cp:revision>
  <cp:lastPrinted>2017-03-24T16:37:00Z</cp:lastPrinted>
  <dcterms:created xsi:type="dcterms:W3CDTF">2017-04-19T11:01:00Z</dcterms:created>
  <dcterms:modified xsi:type="dcterms:W3CDTF">2017-04-19T12:58:00Z</dcterms:modified>
</cp:coreProperties>
</file>